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95" w:rsidRPr="003D5A7D" w:rsidRDefault="004549C7" w:rsidP="001D0917">
      <w:pPr>
        <w:pStyle w:val="a3"/>
        <w:spacing w:before="0" w:beforeAutospacing="0" w:after="0"/>
        <w:ind w:left="11199"/>
        <w:jc w:val="right"/>
        <w:rPr>
          <w:sz w:val="20"/>
          <w:szCs w:val="20"/>
        </w:rPr>
      </w:pPr>
      <w:r w:rsidRPr="003D5A7D">
        <w:rPr>
          <w:sz w:val="20"/>
          <w:szCs w:val="20"/>
        </w:rPr>
        <w:t>Приложение № 2</w:t>
      </w:r>
    </w:p>
    <w:p w:rsidR="00AE3A95" w:rsidRPr="003D5A7D" w:rsidRDefault="00AE3A95" w:rsidP="00734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A95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 xml:space="preserve">Об исполнении комплекса правовых, организационных и профилактических мер </w:t>
      </w:r>
    </w:p>
    <w:p w:rsidR="00673728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>по минимизации выявленных коррупционных рисков при осуществлении</w:t>
      </w:r>
      <w:r w:rsidR="00673728" w:rsidRPr="003D5A7D">
        <w:rPr>
          <w:rFonts w:ascii="Times New Roman" w:hAnsi="Times New Roman" w:cs="Times New Roman"/>
          <w:b/>
          <w:sz w:val="20"/>
          <w:szCs w:val="20"/>
        </w:rPr>
        <w:t xml:space="preserve">гражданскими служащими </w:t>
      </w:r>
    </w:p>
    <w:p w:rsidR="00AE3A95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>ФАС России контрольно-надзорных функций</w:t>
      </w:r>
    </w:p>
    <w:p w:rsidR="004549C7" w:rsidRPr="003D5A7D" w:rsidRDefault="004549C7" w:rsidP="00AE3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D5A7D">
        <w:rPr>
          <w:rFonts w:ascii="Times New Roman" w:hAnsi="Times New Roman" w:cs="Times New Roman"/>
          <w:sz w:val="20"/>
          <w:szCs w:val="20"/>
          <w:u w:val="single"/>
        </w:rPr>
        <w:t>Управление Федеральной антимонопольной службы по Кемеровской области</w:t>
      </w:r>
    </w:p>
    <w:p w:rsidR="00AE3A95" w:rsidRPr="003D5A7D" w:rsidRDefault="00AE3A95" w:rsidP="00734C99">
      <w:pPr>
        <w:pStyle w:val="a3"/>
        <w:spacing w:before="0" w:beforeAutospacing="0" w:after="0"/>
        <w:ind w:firstLine="709"/>
        <w:jc w:val="center"/>
        <w:rPr>
          <w:sz w:val="20"/>
          <w:szCs w:val="20"/>
        </w:rPr>
      </w:pPr>
      <w:r w:rsidRPr="003D5A7D">
        <w:rPr>
          <w:sz w:val="20"/>
          <w:szCs w:val="20"/>
        </w:rPr>
        <w:t xml:space="preserve">(наименование структурного </w:t>
      </w:r>
      <w:proofErr w:type="gramStart"/>
      <w:r w:rsidRPr="003D5A7D">
        <w:rPr>
          <w:sz w:val="20"/>
          <w:szCs w:val="20"/>
        </w:rPr>
        <w:t>подразделения</w:t>
      </w:r>
      <w:r w:rsidR="00692259" w:rsidRPr="003D5A7D">
        <w:rPr>
          <w:sz w:val="20"/>
          <w:szCs w:val="20"/>
        </w:rPr>
        <w:t>,территориального</w:t>
      </w:r>
      <w:proofErr w:type="gramEnd"/>
      <w:r w:rsidR="00692259" w:rsidRPr="003D5A7D">
        <w:rPr>
          <w:sz w:val="20"/>
          <w:szCs w:val="20"/>
        </w:rPr>
        <w:t xml:space="preserve"> органа</w:t>
      </w:r>
      <w:r w:rsidRPr="003D5A7D">
        <w:rPr>
          <w:sz w:val="20"/>
          <w:szCs w:val="20"/>
        </w:rPr>
        <w:t>)</w:t>
      </w:r>
    </w:p>
    <w:p w:rsidR="00AE3A95" w:rsidRPr="003D5A7D" w:rsidRDefault="004549C7" w:rsidP="004549C7">
      <w:pPr>
        <w:pStyle w:val="a3"/>
        <w:spacing w:before="0" w:beforeAutospacing="0" w:after="0"/>
        <w:ind w:firstLine="709"/>
        <w:jc w:val="center"/>
        <w:rPr>
          <w:sz w:val="20"/>
          <w:szCs w:val="20"/>
        </w:rPr>
      </w:pPr>
      <w:proofErr w:type="gramStart"/>
      <w:r w:rsidRPr="003D5A7D">
        <w:rPr>
          <w:sz w:val="20"/>
          <w:szCs w:val="20"/>
        </w:rPr>
        <w:t xml:space="preserve">за </w:t>
      </w:r>
      <w:r w:rsidR="00710F9A">
        <w:rPr>
          <w:sz w:val="20"/>
          <w:szCs w:val="20"/>
        </w:rPr>
        <w:t xml:space="preserve"> 3</w:t>
      </w:r>
      <w:proofErr w:type="gramEnd"/>
      <w:r w:rsidR="001E17E9">
        <w:rPr>
          <w:sz w:val="20"/>
          <w:szCs w:val="20"/>
        </w:rPr>
        <w:t xml:space="preserve"> квартал 2021</w:t>
      </w:r>
      <w:r w:rsidR="003238E3" w:rsidRPr="003D5A7D">
        <w:rPr>
          <w:sz w:val="20"/>
          <w:szCs w:val="20"/>
        </w:rPr>
        <w:t xml:space="preserve"> год</w:t>
      </w:r>
      <w:r w:rsidR="00AE3A95" w:rsidRPr="003D5A7D">
        <w:rPr>
          <w:sz w:val="20"/>
          <w:szCs w:val="20"/>
        </w:rPr>
        <w:t>.</w:t>
      </w:r>
    </w:p>
    <w:tbl>
      <w:tblPr>
        <w:tblStyle w:val="a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410"/>
        <w:gridCol w:w="2409"/>
        <w:gridCol w:w="2552"/>
        <w:gridCol w:w="1559"/>
        <w:gridCol w:w="3260"/>
      </w:tblGrid>
      <w:tr w:rsidR="00D96FD4" w:rsidRPr="00AA053E" w:rsidTr="00AA053E">
        <w:tc>
          <w:tcPr>
            <w:tcW w:w="1277" w:type="dxa"/>
            <w:vMerge w:val="restart"/>
          </w:tcPr>
          <w:p w:rsidR="00D96FD4" w:rsidRPr="00AA053E" w:rsidRDefault="00D96FD4" w:rsidP="00583817">
            <w:pPr>
              <w:spacing w:beforeAutospacing="1"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пункта </w:t>
            </w:r>
            <w:r w:rsidRPr="00AA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*</w:t>
            </w:r>
            <w:r w:rsidR="00583817" w:rsidRPr="007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мер</w:t>
            </w:r>
          </w:p>
        </w:tc>
        <w:tc>
          <w:tcPr>
            <w:tcW w:w="7512" w:type="dxa"/>
            <w:gridSpan w:val="3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минимизации выявленных коррупционных рисков при осуществлении гражданскими служащими ФАС России контрольно-надзорных функций</w:t>
            </w:r>
          </w:p>
        </w:tc>
        <w:tc>
          <w:tcPr>
            <w:tcW w:w="2552" w:type="dxa"/>
            <w:vMerge w:val="restart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реализацию</w:t>
            </w:r>
          </w:p>
        </w:tc>
        <w:tc>
          <w:tcPr>
            <w:tcW w:w="1559" w:type="dxa"/>
            <w:vMerge w:val="restart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60" w:type="dxa"/>
            <w:vMerge w:val="restart"/>
          </w:tcPr>
          <w:p w:rsidR="00D96FD4" w:rsidRPr="0070213D" w:rsidRDefault="00D96FD4" w:rsidP="00D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исполнении </w:t>
            </w:r>
          </w:p>
          <w:p w:rsidR="00D96FD4" w:rsidRPr="00AA053E" w:rsidRDefault="00D96FD4" w:rsidP="00D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приложением подтверждающих документов)</w:t>
            </w:r>
          </w:p>
        </w:tc>
      </w:tr>
      <w:tr w:rsidR="00D96FD4" w:rsidRPr="00AA053E" w:rsidTr="00AA053E">
        <w:tc>
          <w:tcPr>
            <w:tcW w:w="1277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</w:t>
            </w:r>
          </w:p>
        </w:tc>
        <w:tc>
          <w:tcPr>
            <w:tcW w:w="2410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2409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</w:t>
            </w:r>
          </w:p>
        </w:tc>
        <w:tc>
          <w:tcPr>
            <w:tcW w:w="2552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1FC0" w:rsidRPr="00AA053E" w:rsidTr="00AA053E">
        <w:tc>
          <w:tcPr>
            <w:tcW w:w="1277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170597" w:rsidRPr="00AA053E" w:rsidRDefault="00170597" w:rsidP="001705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t>1. Постановление Правительства Российской Федерации от 01.03.2018 № 213</w:t>
            </w:r>
          </w:p>
          <w:p w:rsidR="00170597" w:rsidRPr="00AA053E" w:rsidRDefault="00170597" w:rsidP="001705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критериев отнесения деятельности юридических лиц и индивидуальных предпринимателей, осуществляющих экономическую деятельность, к категориям риска при осуществлении государственного контроля за соблюдением антимонопольного законодательства Российской Федерации"</w:t>
            </w:r>
          </w:p>
          <w:p w:rsidR="00151FC0" w:rsidRPr="00AA053E" w:rsidRDefault="00170597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изменений в акты в случае необходимости</w:t>
            </w:r>
          </w:p>
        </w:tc>
        <w:tc>
          <w:tcPr>
            <w:tcW w:w="2410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Автоматизация процессов формирования профилей риска;</w:t>
            </w:r>
          </w:p>
          <w:p w:rsidR="00151FC0" w:rsidRPr="00AA053E" w:rsidRDefault="00151FC0" w:rsidP="0068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C4BB2" w:rsidRPr="00AA053E" w:rsidRDefault="00C51FFB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ЖКХ, транспорта и связи; </w:t>
            </w:r>
          </w:p>
          <w:p w:rsidR="00151FC0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топливно-энергетического комплекса;</w:t>
            </w:r>
          </w:p>
          <w:p w:rsidR="000C4BB2" w:rsidRPr="00AA053E" w:rsidRDefault="006F6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рекламы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недобросовестной конкуренции;</w:t>
            </w:r>
          </w:p>
          <w:p w:rsidR="000C4BB2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органов власти;</w:t>
            </w:r>
          </w:p>
          <w:p w:rsidR="00C420B4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в сфере закупок</w:t>
            </w:r>
            <w:r w:rsidR="00C5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51FFB" w:rsidRPr="00C51F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bookmarkStart w:id="0" w:name="_GoBack"/>
            <w:r w:rsidR="00C51FFB" w:rsidRPr="00702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специалисты за судебное и правовое обеспечение Управления</w:t>
            </w:r>
            <w:bookmarkEnd w:id="0"/>
          </w:p>
          <w:p w:rsidR="00C51FFB" w:rsidRPr="00AA053E" w:rsidRDefault="00C51FFB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BB2" w:rsidRPr="00AA053E" w:rsidRDefault="000C4BB2" w:rsidP="00C42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плановых проверок</w:t>
            </w:r>
          </w:p>
        </w:tc>
        <w:tc>
          <w:tcPr>
            <w:tcW w:w="3260" w:type="dxa"/>
          </w:tcPr>
          <w:p w:rsidR="00151FC0" w:rsidRPr="00AA053E" w:rsidRDefault="001E17E9" w:rsidP="00F0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</w:t>
            </w:r>
            <w:r w:rsidR="00BF553B"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составлен ежегодный план пров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едения плановых проверок на 2021</w:t>
            </w:r>
            <w:r w:rsidR="00874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юридических </w:t>
            </w:r>
            <w:r w:rsidR="00BF553B"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 и индивидуальных предпринимателей, органов государственной власти, органов местного с</w:t>
            </w:r>
            <w:r w:rsidR="00F01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амоуправления, согласованный с </w:t>
            </w:r>
            <w:r w:rsidR="00BF553B"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планом проведения проверок органами прокуратуры. </w:t>
            </w:r>
            <w:r w:rsidR="00BF553B" w:rsidRPr="00702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Также в декабре согласован план проведения плановых проверок </w:t>
            </w:r>
            <w:r w:rsidR="00F01675" w:rsidRPr="00702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ФАС России на 2</w:t>
            </w:r>
            <w:r w:rsidRPr="00702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 2021</w:t>
            </w:r>
            <w:r w:rsidR="00BF553B" w:rsidRPr="00702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по соблюдению</w:t>
            </w:r>
            <w:r w:rsidR="00BF553B" w:rsidRPr="0070213D">
              <w:rPr>
                <w:sz w:val="24"/>
                <w:szCs w:val="24"/>
              </w:rPr>
              <w:t xml:space="preserve"> </w:t>
            </w:r>
            <w:r w:rsidR="00BF553B" w:rsidRPr="0070213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844D02" w:rsidRPr="00702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D02"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FC0" w:rsidRPr="00AA053E" w:rsidTr="00AA053E">
        <w:tc>
          <w:tcPr>
            <w:tcW w:w="1277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CB2557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делопроизводству в ЦА ФАС России</w:t>
            </w:r>
          </w:p>
          <w:p w:rsidR="00CB2557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Инструкции по делопроизводству в территориальных органах ФАС России</w:t>
            </w:r>
          </w:p>
          <w:p w:rsidR="00151FC0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ФАС России от 25 мая 2012 г. № 340 «Об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Федерации» (зарегистрирован в Минюсте 18.06.2012, регистрационный № 24593) (далее – Регламент)</w:t>
            </w:r>
          </w:p>
        </w:tc>
        <w:tc>
          <w:tcPr>
            <w:tcW w:w="2410" w:type="dxa"/>
          </w:tcPr>
          <w:p w:rsidR="00CB2557" w:rsidRPr="00AA053E" w:rsidRDefault="00646328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</w:t>
            </w:r>
            <w:r w:rsidR="00F5644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за соблюдением регламентированных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сроков подготовки приказа о проведении проверки (10 дней до проверки)</w:t>
            </w:r>
          </w:p>
        </w:tc>
        <w:tc>
          <w:tcPr>
            <w:tcW w:w="2409" w:type="dxa"/>
          </w:tcPr>
          <w:p w:rsidR="00151FC0" w:rsidRPr="00AA053E" w:rsidRDefault="00F56441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Проводится разъяснительная работа с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гражданскими служащими по недопущению нарушения требований Административного регламента</w:t>
            </w:r>
          </w:p>
        </w:tc>
        <w:tc>
          <w:tcPr>
            <w:tcW w:w="2552" w:type="dxa"/>
          </w:tcPr>
          <w:p w:rsidR="00151FC0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руководителя</w:t>
            </w:r>
            <w:r w:rsidR="003A7D0F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1559" w:type="dxa"/>
          </w:tcPr>
          <w:p w:rsidR="00151FC0" w:rsidRPr="00AA053E" w:rsidRDefault="00AE1E0C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AE1E0C" w:rsidRPr="00AA053E" w:rsidRDefault="00AE1E0C" w:rsidP="00C7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F553B" w:rsidRPr="00AA053E" w:rsidRDefault="00BF553B" w:rsidP="00BF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сроками формирования ежегодного плана проведения плановых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проверок с размещением информации на официальном сайте Кемеровского УФАС России, Проведение внеплановых выездных проверок согласовывается с соответствующими органами</w:t>
            </w:r>
          </w:p>
          <w:p w:rsidR="00151FC0" w:rsidRPr="00AA053E" w:rsidRDefault="00BF553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прокуратуры. План проверок по </w:t>
            </w:r>
            <w:r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согласовывается с ФАС России.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 за соблюдением государственными служащими положений административных регламентов. Оснований для проведения в отношении государственных служащих соответств</w:t>
            </w:r>
            <w:r w:rsidR="0071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ующих проверок в 3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2021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не было.</w:t>
            </w:r>
          </w:p>
        </w:tc>
      </w:tr>
      <w:tr w:rsidR="00D96FD4" w:rsidRPr="00AA053E" w:rsidTr="00AA053E">
        <w:tc>
          <w:tcPr>
            <w:tcW w:w="1277" w:type="dxa"/>
          </w:tcPr>
          <w:p w:rsidR="00D96FD4" w:rsidRPr="00AA053E" w:rsidRDefault="00073E09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D96FD4" w:rsidRPr="00AA053E" w:rsidRDefault="00CB2557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ФАС России от 25 мая 2012 г. № 340 «Об утверждении административного регламента Федеральной антимонопольной службы по исполнению государственной функции по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проведению проверок соблюдения требований антимонопольного законодательства Российской Федерации» (зарегистрирован в Минюсте 18.06.2012, регистрационный № 24593) (далее – Регламент)</w:t>
            </w:r>
          </w:p>
        </w:tc>
        <w:tc>
          <w:tcPr>
            <w:tcW w:w="2410" w:type="dxa"/>
          </w:tcPr>
          <w:p w:rsidR="00D96FD4" w:rsidRPr="00AA053E" w:rsidRDefault="001B08E3" w:rsidP="00A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Автоматизация процесса расчета вреда; </w:t>
            </w:r>
          </w:p>
        </w:tc>
        <w:tc>
          <w:tcPr>
            <w:tcW w:w="2409" w:type="dxa"/>
          </w:tcPr>
          <w:p w:rsidR="00D96FD4" w:rsidRPr="00AA053E" w:rsidRDefault="00F56441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разъяснительная работа с государственными гражданскими служащими по недопущению нарушения требований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Административного регламента</w:t>
            </w:r>
          </w:p>
        </w:tc>
        <w:tc>
          <w:tcPr>
            <w:tcW w:w="2552" w:type="dxa"/>
          </w:tcPr>
          <w:p w:rsidR="001B08E3" w:rsidRPr="00AA053E" w:rsidRDefault="00C51FFB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1B08E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ЖКХ, транспорта и связи; </w:t>
            </w:r>
          </w:p>
          <w:p w:rsidR="001B08E3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топливно-энергетического комплекса;</w:t>
            </w:r>
          </w:p>
          <w:p w:rsidR="001B08E3" w:rsidRPr="00AA053E" w:rsidRDefault="008743F4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рекламы и </w:t>
            </w:r>
            <w:r w:rsidR="001B08E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недобросовестной конкуренции;</w:t>
            </w:r>
          </w:p>
          <w:p w:rsidR="001B08E3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органов власти;</w:t>
            </w:r>
          </w:p>
          <w:p w:rsidR="00D96FD4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в сфере закупок</w:t>
            </w:r>
          </w:p>
        </w:tc>
        <w:tc>
          <w:tcPr>
            <w:tcW w:w="1559" w:type="dxa"/>
          </w:tcPr>
          <w:p w:rsidR="00D96FD4" w:rsidRPr="00AA053E" w:rsidRDefault="00682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D96FD4" w:rsidRPr="00AA053E" w:rsidRDefault="00682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подготавливаемые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административной процедуры (акт, постановление, предписание, протокол), которые составляются в результате проверки в отношении подконтрольного субъекта, для ознакомления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вручаются 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(направляются) в сроки 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закрепленные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РФ и соответствующими регламентами</w:t>
            </w:r>
            <w:r w:rsidR="00AE1E0C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1E0C" w:rsidRPr="00AA053E" w:rsidRDefault="00AE1E0C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Оснований для проведения в отношении государственных служащих соответствующих проверок </w:t>
            </w:r>
            <w:r w:rsidR="0071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F553B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EE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ло.</w:t>
            </w:r>
          </w:p>
        </w:tc>
      </w:tr>
      <w:tr w:rsidR="00D96FD4" w:rsidRPr="00AA053E" w:rsidTr="00AA053E">
        <w:tc>
          <w:tcPr>
            <w:tcW w:w="1277" w:type="dxa"/>
          </w:tcPr>
          <w:p w:rsidR="00D96FD4" w:rsidRPr="00AA053E" w:rsidRDefault="00073E09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27 июля 2004 года № 79-ФЗ «О государственной гражданской службе Российской Федерации».</w:t>
            </w: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нормативные правовые акты по вопросам государственной службы и профилактике коррупционных правонарушений.</w:t>
            </w:r>
          </w:p>
          <w:p w:rsidR="00D96FD4" w:rsidRPr="00AA053E" w:rsidRDefault="00D96FD4" w:rsidP="0015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96FD4" w:rsidRPr="00AA053E" w:rsidRDefault="00D96FD4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96FD4" w:rsidRPr="00AA053E" w:rsidRDefault="00F93EF1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оступление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государственную службу на конкурсной основе; Ознакомление 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служащих с нормативными правовыми актами, методическими рекомендациями и иными материалами по вопросам противодействия коррупции;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8E3"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уровня квалификации государственных служащих</w:t>
            </w:r>
          </w:p>
        </w:tc>
        <w:tc>
          <w:tcPr>
            <w:tcW w:w="2552" w:type="dxa"/>
          </w:tcPr>
          <w:p w:rsidR="00D96FD4" w:rsidRPr="00AA053E" w:rsidRDefault="003A7D0F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аместители руководителя управления, главный специалист – эксперт общего отдела</w:t>
            </w:r>
          </w:p>
        </w:tc>
        <w:tc>
          <w:tcPr>
            <w:tcW w:w="1559" w:type="dxa"/>
          </w:tcPr>
          <w:p w:rsidR="00D96FD4" w:rsidRPr="00AA053E" w:rsidRDefault="004549C7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D96FD4" w:rsidRPr="00AA053E" w:rsidRDefault="00F93EF1" w:rsidP="0071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2021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F9A" w:rsidRPr="0071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управлении было </w:t>
            </w:r>
            <w:proofErr w:type="gramStart"/>
            <w:r w:rsidR="00710F9A" w:rsidRPr="0071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назначено  </w:t>
            </w:r>
            <w:r w:rsidR="0071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710F9A" w:rsidRPr="0071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служащих из кадрового резерва</w:t>
            </w:r>
            <w:r w:rsidR="0071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0F9A" w:rsidRPr="0071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сформированного на конкурсной основе, также </w:t>
            </w:r>
            <w:r w:rsidR="0071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</w:t>
            </w:r>
            <w:r w:rsidR="00710F9A" w:rsidRPr="0071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года состоялся конкурс на формирование кадрового резерва</w:t>
            </w:r>
            <w:r w:rsidR="001D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29.09.2021 проведена аттестация </w:t>
            </w:r>
            <w:r w:rsidR="00710F9A" w:rsidRPr="0071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уровня квалификации государственных служащих</w:t>
            </w:r>
            <w:r w:rsidR="0071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Проведено общее совещание об ознакомлении с Приказом ФАС России от 30.08.2021 года № 907/21 «Об организации работы по уведомлению федеральными государственными гражданскими служащими ФАС Росси и её территориальных органов представителя нанимателя о намерении выполнять иную оплачиваему</w:t>
            </w:r>
            <w:r w:rsidR="001D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1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работу.</w:t>
            </w:r>
            <w:r w:rsidR="001D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5C138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существлялось о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служащих с материалами по вопросам противодействия коррупции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(отдельные листы ознакомления)</w:t>
            </w:r>
            <w:r w:rsidR="00821F3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73B18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сотрудников с методическими материалами по вопросам соблюдения установленных антикоррупционных запретов.</w:t>
            </w:r>
            <w:r w:rsidR="00981DF4"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76E" w:rsidRPr="0022576E">
              <w:rPr>
                <w:rFonts w:ascii="Times New Roman" w:hAnsi="Times New Roman" w:cs="Times New Roman"/>
                <w:sz w:val="24"/>
                <w:szCs w:val="24"/>
              </w:rPr>
              <w:t>Оснований для проведения в отношении государственных служ</w:t>
            </w:r>
            <w:r w:rsidR="00710F9A">
              <w:rPr>
                <w:rFonts w:ascii="Times New Roman" w:hAnsi="Times New Roman" w:cs="Times New Roman"/>
                <w:sz w:val="24"/>
                <w:szCs w:val="24"/>
              </w:rPr>
              <w:t>ащих соответствующих проверок в 3</w:t>
            </w:r>
            <w:r w:rsidR="0022576E" w:rsidRPr="0022576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 года не было.</w:t>
            </w:r>
          </w:p>
        </w:tc>
      </w:tr>
      <w:tr w:rsidR="00C4691D" w:rsidRPr="00AA053E" w:rsidTr="00AA053E">
        <w:tc>
          <w:tcPr>
            <w:tcW w:w="1277" w:type="dxa"/>
          </w:tcPr>
          <w:p w:rsidR="00C4691D" w:rsidRPr="00AA053E" w:rsidRDefault="00C4691D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ФАС России от 10.08.2016 №1125/16 «Об организации денежных взысканий (штрафов) за нарушение законодательства Российской Федерации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соблюдения</w:t>
            </w:r>
            <w:proofErr w:type="gramEnd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возложен на ФАС России, и государственных пошлин, администрируемых ФАС России».</w:t>
            </w:r>
          </w:p>
          <w:p w:rsidR="00C4691D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ФАС России от 25.03.2015 №194/15 «об утверждении положения о внутреннем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финансовом контроле федеральной антимонопольной службы»</w:t>
            </w:r>
          </w:p>
        </w:tc>
        <w:tc>
          <w:tcPr>
            <w:tcW w:w="2410" w:type="dxa"/>
          </w:tcPr>
          <w:p w:rsidR="00C4691D" w:rsidRPr="00AA053E" w:rsidRDefault="00EC1513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внутреннего контроля за исполнением своих обязательств, обеспечение прозрачности использования средст</w:t>
            </w:r>
            <w:r w:rsidR="00A3399F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09" w:type="dxa"/>
          </w:tcPr>
          <w:p w:rsidR="00C4691D" w:rsidRPr="00AA053E" w:rsidRDefault="00467C14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Коллегиальное принятие решения о возврате либо зачете платежей (путем создания комиссии)</w:t>
            </w:r>
          </w:p>
        </w:tc>
        <w:tc>
          <w:tcPr>
            <w:tcW w:w="2552" w:type="dxa"/>
          </w:tcPr>
          <w:p w:rsidR="00C4691D" w:rsidRPr="00AA053E" w:rsidRDefault="00B827BB" w:rsidP="001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управления (Председатель Комиссии), 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(ответственный за администрирование доходов бюджетов бюджетной системы РФ)</w:t>
            </w:r>
          </w:p>
        </w:tc>
        <w:tc>
          <w:tcPr>
            <w:tcW w:w="1559" w:type="dxa"/>
          </w:tcPr>
          <w:p w:rsidR="00C4691D" w:rsidRPr="00AA053E" w:rsidRDefault="00467C14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9F32F4" w:rsidRPr="00AA053E" w:rsidRDefault="00BF7B7D" w:rsidP="009F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 по поступлению и выбытию активов д</w:t>
            </w:r>
            <w:r w:rsidR="00467C1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5 числа следующего за отчетным (ежеквартально) составляется акт о признании безнадежной к взысканию дебиторской задолженности</w:t>
            </w:r>
            <w:r w:rsidR="009F32F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691D" w:rsidRPr="00AA053E" w:rsidRDefault="001D7D92" w:rsidP="001D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D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квартале 2021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состоялось одно заседание </w:t>
            </w:r>
            <w:r w:rsidR="009F32F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рассмотрению вопросов о признании безнадежной к взысканию дебиторской задолженности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691D" w:rsidRPr="00AA053E" w:rsidTr="00AA053E">
        <w:tc>
          <w:tcPr>
            <w:tcW w:w="1277" w:type="dxa"/>
          </w:tcPr>
          <w:p w:rsidR="00C4691D" w:rsidRPr="00AA053E" w:rsidRDefault="00C4691D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</w:tcPr>
          <w:p w:rsidR="00C4691D" w:rsidRPr="00AA053E" w:rsidRDefault="00EC63DC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судебных органах прав и законных интересов</w:t>
            </w:r>
          </w:p>
        </w:tc>
        <w:tc>
          <w:tcPr>
            <w:tcW w:w="2410" w:type="dxa"/>
          </w:tcPr>
          <w:p w:rsidR="00C4691D" w:rsidRPr="00AA053E" w:rsidRDefault="008E68F5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фиксация судебных заседаний</w:t>
            </w:r>
            <w:r w:rsidR="00C83499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проверок по профилактике коррупционных правонарушений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государственными служащими 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предотвращении и урегулировании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 при наличии на то соответствующих оснований</w:t>
            </w:r>
          </w:p>
        </w:tc>
        <w:tc>
          <w:tcPr>
            <w:tcW w:w="2409" w:type="dxa"/>
          </w:tcPr>
          <w:p w:rsidR="00C4691D" w:rsidRPr="00AA053E" w:rsidRDefault="00C83499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внутреннего выборочного контроля</w:t>
            </w:r>
          </w:p>
        </w:tc>
        <w:tc>
          <w:tcPr>
            <w:tcW w:w="2552" w:type="dxa"/>
          </w:tcPr>
          <w:p w:rsidR="00C4691D" w:rsidRPr="00AA053E" w:rsidRDefault="008E68F5" w:rsidP="00C5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управления; </w:t>
            </w:r>
            <w:r w:rsidR="008743F4" w:rsidRP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="00C5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управления; </w:t>
            </w:r>
            <w:r w:rsidR="008743F4" w:rsidRP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эксперт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FFB" w:rsidRPr="00C5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C51F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C51FFB" w:rsidRPr="00C51FFB">
              <w:rPr>
                <w:rFonts w:ascii="Times New Roman" w:hAnsi="Times New Roman" w:cs="Times New Roman"/>
                <w:bCs/>
                <w:sz w:val="21"/>
                <w:szCs w:val="21"/>
              </w:rPr>
              <w:t>(</w:t>
            </w:r>
            <w:r w:rsidR="00C51FFB" w:rsidRPr="00C51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ответственным за судебное и правовое обеспечение Управления)</w:t>
            </w:r>
          </w:p>
        </w:tc>
        <w:tc>
          <w:tcPr>
            <w:tcW w:w="1559" w:type="dxa"/>
          </w:tcPr>
          <w:p w:rsidR="00C4691D" w:rsidRPr="00AA053E" w:rsidRDefault="008E68F5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C4691D" w:rsidRPr="00AA053E" w:rsidRDefault="00C83499" w:rsidP="006B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Арбитражных судах и судах общей юрисдикции в ходе судебных заседаний ведется аудиозапись.</w:t>
            </w:r>
          </w:p>
          <w:p w:rsidR="004E46E2" w:rsidRPr="00AA053E" w:rsidRDefault="004E46E2" w:rsidP="006B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 в</w:t>
            </w:r>
            <w:proofErr w:type="gramEnd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 2021</w:t>
            </w:r>
            <w:r w:rsidR="003D5A7D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правонарушений не было.</w:t>
            </w:r>
          </w:p>
        </w:tc>
      </w:tr>
    </w:tbl>
    <w:p w:rsidR="00AE3A95" w:rsidRPr="00AA053E" w:rsidRDefault="00AE3A95" w:rsidP="00AE3A95">
      <w:pPr>
        <w:pStyle w:val="a3"/>
        <w:spacing w:before="0" w:beforeAutospacing="0" w:after="0"/>
        <w:ind w:firstLine="709"/>
        <w:jc w:val="center"/>
      </w:pPr>
    </w:p>
    <w:p w:rsidR="00AE3A95" w:rsidRPr="00AA053E" w:rsidRDefault="00F66E82" w:rsidP="00AE3A95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053E">
        <w:rPr>
          <w:rFonts w:ascii="Times New Roman" w:hAnsi="Times New Roman" w:cs="Times New Roman"/>
          <w:b/>
          <w:sz w:val="18"/>
          <w:szCs w:val="18"/>
        </w:rPr>
        <w:t>•</w:t>
      </w:r>
      <w:r w:rsidRPr="00AA053E">
        <w:rPr>
          <w:rFonts w:ascii="Times New Roman" w:hAnsi="Times New Roman" w:cs="Times New Roman"/>
          <w:b/>
          <w:sz w:val="18"/>
          <w:szCs w:val="18"/>
        </w:rPr>
        <w:tab/>
        <w:t>Представляется ежеквартально,</w:t>
      </w:r>
      <w:r w:rsidR="00AE3A95" w:rsidRPr="00AA053E">
        <w:rPr>
          <w:rFonts w:ascii="Times New Roman" w:hAnsi="Times New Roman" w:cs="Times New Roman"/>
          <w:b/>
          <w:sz w:val="18"/>
          <w:szCs w:val="18"/>
        </w:rPr>
        <w:t xml:space="preserve"> нач</w:t>
      </w:r>
      <w:r w:rsidRPr="00AA053E">
        <w:rPr>
          <w:rFonts w:ascii="Times New Roman" w:hAnsi="Times New Roman" w:cs="Times New Roman"/>
          <w:b/>
          <w:sz w:val="18"/>
          <w:szCs w:val="18"/>
        </w:rPr>
        <w:t>иная с 2018 года,</w:t>
      </w:r>
      <w:r w:rsidR="00AE3A95" w:rsidRPr="00AA053E">
        <w:rPr>
          <w:rFonts w:ascii="Times New Roman" w:hAnsi="Times New Roman" w:cs="Times New Roman"/>
          <w:b/>
          <w:sz w:val="18"/>
          <w:szCs w:val="18"/>
        </w:rPr>
        <w:t xml:space="preserve"> до 1 числа месяца, следующего за отчетным, посредством направления отсканированного документа на адрес электронной почты:  </w:t>
      </w:r>
      <w:hyperlink r:id="rId6" w:history="1">
        <w:r w:rsidR="00AE3A95" w:rsidRPr="00AA053E">
          <w:rPr>
            <w:rStyle w:val="a4"/>
            <w:rFonts w:ascii="Times New Roman" w:hAnsi="Times New Roman" w:cs="Times New Roman"/>
            <w:b/>
            <w:sz w:val="18"/>
            <w:szCs w:val="18"/>
          </w:rPr>
          <w:t>ko@fas.gov.ru</w:t>
        </w:r>
      </w:hyperlink>
    </w:p>
    <w:p w:rsidR="004549C7" w:rsidRPr="00AA053E" w:rsidRDefault="00D44AAE" w:rsidP="00D44AA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053E">
        <w:rPr>
          <w:rFonts w:ascii="Times New Roman" w:hAnsi="Times New Roman" w:cs="Times New Roman"/>
          <w:b/>
          <w:sz w:val="18"/>
          <w:szCs w:val="18"/>
        </w:rPr>
        <w:t>*</w:t>
      </w:r>
      <w:r w:rsidR="00583817" w:rsidRPr="00AA053E">
        <w:rPr>
          <w:rFonts w:ascii="Times New Roman" w:hAnsi="Times New Roman" w:cs="Times New Roman"/>
          <w:b/>
          <w:sz w:val="18"/>
          <w:szCs w:val="18"/>
        </w:rPr>
        <w:t>Комплекс мер</w:t>
      </w:r>
      <w:r w:rsidRPr="00AA053E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AA053E">
        <w:rPr>
          <w:rFonts w:ascii="Times New Roman" w:hAnsi="Times New Roman" w:cs="Times New Roman"/>
          <w:sz w:val="18"/>
          <w:szCs w:val="18"/>
        </w:rPr>
        <w:t>комплекс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</w:t>
      </w:r>
    </w:p>
    <w:p w:rsidR="004549C7" w:rsidRPr="00AA053E" w:rsidRDefault="004549C7" w:rsidP="00D44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C7" w:rsidRPr="00AA053E" w:rsidRDefault="008743F4" w:rsidP="00AE3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 2021 </w:t>
      </w:r>
      <w:r w:rsidR="00AE3A95" w:rsidRPr="00AA053E">
        <w:rPr>
          <w:rFonts w:ascii="Times New Roman" w:hAnsi="Times New Roman" w:cs="Times New Roman"/>
          <w:sz w:val="24"/>
          <w:szCs w:val="24"/>
        </w:rPr>
        <w:t>г.</w:t>
      </w:r>
    </w:p>
    <w:p w:rsidR="008743F4" w:rsidRDefault="008743F4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95" w:rsidRPr="00BF553B" w:rsidRDefault="001D7D92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073E09" w:rsidRPr="00BF553B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                                                          </w:t>
      </w:r>
      <w:r w:rsidR="003D5A7D" w:rsidRPr="00BF553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Т.Ю. Моисеева</w:t>
      </w:r>
    </w:p>
    <w:p w:rsidR="00C373D6" w:rsidRPr="003D5A7D" w:rsidRDefault="00C373D6">
      <w:pPr>
        <w:rPr>
          <w:sz w:val="20"/>
          <w:szCs w:val="20"/>
        </w:rPr>
      </w:pPr>
    </w:p>
    <w:sectPr w:rsidR="00C373D6" w:rsidRPr="003D5A7D" w:rsidSect="00734C9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3603"/>
    <w:multiLevelType w:val="hybridMultilevel"/>
    <w:tmpl w:val="DE54D3A0"/>
    <w:lvl w:ilvl="0" w:tplc="D7A8C9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0FBE"/>
    <w:multiLevelType w:val="hybridMultilevel"/>
    <w:tmpl w:val="89EA652E"/>
    <w:lvl w:ilvl="0" w:tplc="00D65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5C6CB8"/>
    <w:multiLevelType w:val="hybridMultilevel"/>
    <w:tmpl w:val="B5C278C0"/>
    <w:lvl w:ilvl="0" w:tplc="5B483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9B"/>
    <w:rsid w:val="00073E09"/>
    <w:rsid w:val="000C21D6"/>
    <w:rsid w:val="000C4BB2"/>
    <w:rsid w:val="001413A8"/>
    <w:rsid w:val="00151FC0"/>
    <w:rsid w:val="00152325"/>
    <w:rsid w:val="00167BEA"/>
    <w:rsid w:val="00170597"/>
    <w:rsid w:val="001B08E3"/>
    <w:rsid w:val="001C2EAB"/>
    <w:rsid w:val="001D0917"/>
    <w:rsid w:val="001D7D92"/>
    <w:rsid w:val="001E17E9"/>
    <w:rsid w:val="0022576E"/>
    <w:rsid w:val="00270E35"/>
    <w:rsid w:val="003066C8"/>
    <w:rsid w:val="003238E3"/>
    <w:rsid w:val="00373B18"/>
    <w:rsid w:val="003A5232"/>
    <w:rsid w:val="003A7D0F"/>
    <w:rsid w:val="003D5A7D"/>
    <w:rsid w:val="003F1E81"/>
    <w:rsid w:val="00401B7E"/>
    <w:rsid w:val="00435FD6"/>
    <w:rsid w:val="004549C7"/>
    <w:rsid w:val="00467C14"/>
    <w:rsid w:val="004E46E2"/>
    <w:rsid w:val="004F1340"/>
    <w:rsid w:val="00583817"/>
    <w:rsid w:val="005A0C9B"/>
    <w:rsid w:val="005C1387"/>
    <w:rsid w:val="005E7C29"/>
    <w:rsid w:val="00611F44"/>
    <w:rsid w:val="00646328"/>
    <w:rsid w:val="00646D7C"/>
    <w:rsid w:val="00673728"/>
    <w:rsid w:val="0068250F"/>
    <w:rsid w:val="00692259"/>
    <w:rsid w:val="006B583B"/>
    <w:rsid w:val="006F650F"/>
    <w:rsid w:val="0070213D"/>
    <w:rsid w:val="00710F9A"/>
    <w:rsid w:val="00734C99"/>
    <w:rsid w:val="00763248"/>
    <w:rsid w:val="00783E0F"/>
    <w:rsid w:val="0079604E"/>
    <w:rsid w:val="007B0042"/>
    <w:rsid w:val="007E284D"/>
    <w:rsid w:val="00821F33"/>
    <w:rsid w:val="00844D02"/>
    <w:rsid w:val="008743F4"/>
    <w:rsid w:val="00890492"/>
    <w:rsid w:val="008E68F5"/>
    <w:rsid w:val="008F05C4"/>
    <w:rsid w:val="00973DF9"/>
    <w:rsid w:val="00981DF4"/>
    <w:rsid w:val="00994865"/>
    <w:rsid w:val="009F32F4"/>
    <w:rsid w:val="00A3399F"/>
    <w:rsid w:val="00A76B8C"/>
    <w:rsid w:val="00AA053E"/>
    <w:rsid w:val="00AE1E0C"/>
    <w:rsid w:val="00AE3A95"/>
    <w:rsid w:val="00B136B5"/>
    <w:rsid w:val="00B31445"/>
    <w:rsid w:val="00B65B88"/>
    <w:rsid w:val="00B827BB"/>
    <w:rsid w:val="00BF553B"/>
    <w:rsid w:val="00BF7B7D"/>
    <w:rsid w:val="00C1519A"/>
    <w:rsid w:val="00C373D6"/>
    <w:rsid w:val="00C420B4"/>
    <w:rsid w:val="00C4691D"/>
    <w:rsid w:val="00C51FFB"/>
    <w:rsid w:val="00C54EA1"/>
    <w:rsid w:val="00C65D95"/>
    <w:rsid w:val="00C72FA4"/>
    <w:rsid w:val="00C83499"/>
    <w:rsid w:val="00CB2557"/>
    <w:rsid w:val="00CE4714"/>
    <w:rsid w:val="00D44AAE"/>
    <w:rsid w:val="00D96FD4"/>
    <w:rsid w:val="00E10649"/>
    <w:rsid w:val="00E23487"/>
    <w:rsid w:val="00E33804"/>
    <w:rsid w:val="00E430DC"/>
    <w:rsid w:val="00E4394D"/>
    <w:rsid w:val="00EC1138"/>
    <w:rsid w:val="00EC1513"/>
    <w:rsid w:val="00EC63DC"/>
    <w:rsid w:val="00EE5D0B"/>
    <w:rsid w:val="00F01675"/>
    <w:rsid w:val="00F06901"/>
    <w:rsid w:val="00F56441"/>
    <w:rsid w:val="00F66E82"/>
    <w:rsid w:val="00F8459D"/>
    <w:rsid w:val="00F86FA4"/>
    <w:rsid w:val="00F93EF1"/>
    <w:rsid w:val="00F94C14"/>
    <w:rsid w:val="00FB4C1F"/>
    <w:rsid w:val="00FD45E5"/>
    <w:rsid w:val="00FD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35DD1-0DBD-4145-A0C2-B5BD8E9F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9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A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A9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AE3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A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4774-BE6B-4BE8-BD2A-CB3569F3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Ольга Сергеевна Куликова</cp:lastModifiedBy>
  <cp:revision>4</cp:revision>
  <cp:lastPrinted>2020-04-01T09:15:00Z</cp:lastPrinted>
  <dcterms:created xsi:type="dcterms:W3CDTF">2021-09-30T11:27:00Z</dcterms:created>
  <dcterms:modified xsi:type="dcterms:W3CDTF">2021-10-01T01:27:00Z</dcterms:modified>
</cp:coreProperties>
</file>