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4E" w:rsidRDefault="0041184E" w:rsidP="00411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Пресс-конференция по итогам 201</w:t>
      </w:r>
      <w:r w:rsidR="005C7D0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51AEE" w:rsidRDefault="0041184E" w:rsidP="00411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84E" w:rsidRDefault="00C3694D" w:rsidP="0041184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3694D">
        <w:rPr>
          <w:rFonts w:ascii="Times New Roman" w:hAnsi="Times New Roman" w:cs="Times New Roman"/>
          <w:b/>
          <w:sz w:val="24"/>
          <w:szCs w:val="28"/>
        </w:rPr>
        <w:t>18</w:t>
      </w:r>
      <w:r w:rsidR="000134F5" w:rsidRPr="00C3694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61698" w:rsidRPr="00C3694D">
        <w:rPr>
          <w:rFonts w:ascii="Times New Roman" w:hAnsi="Times New Roman" w:cs="Times New Roman"/>
          <w:b/>
          <w:sz w:val="24"/>
          <w:szCs w:val="28"/>
        </w:rPr>
        <w:t>марта</w:t>
      </w:r>
      <w:r w:rsidR="0041184E" w:rsidRPr="00C3694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6663" w:rsidRPr="00C3694D">
        <w:rPr>
          <w:rFonts w:ascii="Times New Roman" w:hAnsi="Times New Roman" w:cs="Times New Roman"/>
          <w:b/>
          <w:sz w:val="24"/>
          <w:szCs w:val="28"/>
        </w:rPr>
        <w:t>1</w:t>
      </w:r>
      <w:r w:rsidRPr="00C3694D">
        <w:rPr>
          <w:rFonts w:ascii="Times New Roman" w:hAnsi="Times New Roman" w:cs="Times New Roman"/>
          <w:b/>
          <w:sz w:val="24"/>
          <w:szCs w:val="28"/>
        </w:rPr>
        <w:t>1</w:t>
      </w:r>
      <w:r w:rsidR="0041184E" w:rsidRPr="00C3694D">
        <w:rPr>
          <w:rFonts w:ascii="Times New Roman" w:hAnsi="Times New Roman" w:cs="Times New Roman"/>
          <w:b/>
          <w:sz w:val="24"/>
          <w:szCs w:val="28"/>
        </w:rPr>
        <w:t>:</w:t>
      </w:r>
      <w:r w:rsidR="004E6663" w:rsidRPr="00C3694D">
        <w:rPr>
          <w:rFonts w:ascii="Times New Roman" w:hAnsi="Times New Roman" w:cs="Times New Roman"/>
          <w:b/>
          <w:sz w:val="24"/>
          <w:szCs w:val="28"/>
        </w:rPr>
        <w:t>00</w:t>
      </w:r>
    </w:p>
    <w:p w:rsidR="0041184E" w:rsidRDefault="0041184E" w:rsidP="0041184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Спикер – руководитель Кемеровского УФАС России </w:t>
      </w:r>
    </w:p>
    <w:p w:rsidR="0041184E" w:rsidRDefault="0041184E" w:rsidP="0041184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Наталья Евгеньевна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Кухарская</w:t>
      </w:r>
      <w:proofErr w:type="spellEnd"/>
    </w:p>
    <w:p w:rsidR="0041184E" w:rsidRDefault="0041184E" w:rsidP="0041184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Пресс-секретарь Анна Дрешер 8-904-995-57-86</w:t>
      </w:r>
    </w:p>
    <w:p w:rsidR="0041184E" w:rsidRPr="0041184E" w:rsidRDefault="005B381F" w:rsidP="0041184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Style w:val="a5"/>
          <w:rFonts w:ascii="Times New Roman" w:hAnsi="Times New Roman" w:cs="Times New Roman"/>
          <w:b/>
          <w:sz w:val="24"/>
          <w:szCs w:val="28"/>
          <w:lang w:val="en-US"/>
        </w:rPr>
        <w:fldChar w:fldCharType="begin"/>
      </w:r>
      <w:r w:rsidRPr="005B381F">
        <w:rPr>
          <w:rStyle w:val="a5"/>
          <w:rFonts w:ascii="Times New Roman" w:hAnsi="Times New Roman" w:cs="Times New Roman"/>
          <w:b/>
          <w:sz w:val="24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sz w:val="24"/>
          <w:szCs w:val="28"/>
          <w:lang w:val="en-US"/>
        </w:rPr>
        <w:instrText>HYPERLINK</w:instrText>
      </w:r>
      <w:r w:rsidRPr="005B381F">
        <w:rPr>
          <w:rStyle w:val="a5"/>
          <w:rFonts w:ascii="Times New Roman" w:hAnsi="Times New Roman" w:cs="Times New Roman"/>
          <w:b/>
          <w:sz w:val="24"/>
          <w:szCs w:val="28"/>
        </w:rPr>
        <w:instrText xml:space="preserve"> "</w:instrText>
      </w:r>
      <w:r>
        <w:rPr>
          <w:rStyle w:val="a5"/>
          <w:rFonts w:ascii="Times New Roman" w:hAnsi="Times New Roman" w:cs="Times New Roman"/>
          <w:b/>
          <w:sz w:val="24"/>
          <w:szCs w:val="28"/>
          <w:lang w:val="en-US"/>
        </w:rPr>
        <w:instrText>mailto</w:instrText>
      </w:r>
      <w:r w:rsidRPr="005B381F">
        <w:rPr>
          <w:rStyle w:val="a5"/>
          <w:rFonts w:ascii="Times New Roman" w:hAnsi="Times New Roman" w:cs="Times New Roman"/>
          <w:b/>
          <w:sz w:val="24"/>
          <w:szCs w:val="28"/>
        </w:rPr>
        <w:instrText>:</w:instrText>
      </w:r>
      <w:r>
        <w:rPr>
          <w:rStyle w:val="a5"/>
          <w:rFonts w:ascii="Times New Roman" w:hAnsi="Times New Roman" w:cs="Times New Roman"/>
          <w:b/>
          <w:sz w:val="24"/>
          <w:szCs w:val="28"/>
          <w:lang w:val="en-US"/>
        </w:rPr>
        <w:instrText>pressto</w:instrText>
      </w:r>
      <w:r w:rsidRPr="005B381F">
        <w:rPr>
          <w:rStyle w:val="a5"/>
          <w:rFonts w:ascii="Times New Roman" w:hAnsi="Times New Roman" w:cs="Times New Roman"/>
          <w:b/>
          <w:sz w:val="24"/>
          <w:szCs w:val="28"/>
        </w:rPr>
        <w:instrText>42@</w:instrText>
      </w:r>
      <w:r>
        <w:rPr>
          <w:rStyle w:val="a5"/>
          <w:rFonts w:ascii="Times New Roman" w:hAnsi="Times New Roman" w:cs="Times New Roman"/>
          <w:b/>
          <w:sz w:val="24"/>
          <w:szCs w:val="28"/>
          <w:lang w:val="en-US"/>
        </w:rPr>
        <w:instrText>fas</w:instrText>
      </w:r>
      <w:r w:rsidRPr="005B381F">
        <w:rPr>
          <w:rStyle w:val="a5"/>
          <w:rFonts w:ascii="Times New Roman" w:hAnsi="Times New Roman" w:cs="Times New Roman"/>
          <w:b/>
          <w:sz w:val="24"/>
          <w:szCs w:val="28"/>
        </w:rPr>
        <w:instrText>.</w:instrText>
      </w:r>
      <w:r>
        <w:rPr>
          <w:rStyle w:val="a5"/>
          <w:rFonts w:ascii="Times New Roman" w:hAnsi="Times New Roman" w:cs="Times New Roman"/>
          <w:b/>
          <w:sz w:val="24"/>
          <w:szCs w:val="28"/>
          <w:lang w:val="en-US"/>
        </w:rPr>
        <w:instrText>gov</w:instrText>
      </w:r>
      <w:r w:rsidRPr="005B381F">
        <w:rPr>
          <w:rStyle w:val="a5"/>
          <w:rFonts w:ascii="Times New Roman" w:hAnsi="Times New Roman" w:cs="Times New Roman"/>
          <w:b/>
          <w:sz w:val="24"/>
          <w:szCs w:val="28"/>
        </w:rPr>
        <w:instrText>.</w:instrText>
      </w:r>
      <w:r>
        <w:rPr>
          <w:rStyle w:val="a5"/>
          <w:rFonts w:ascii="Times New Roman" w:hAnsi="Times New Roman" w:cs="Times New Roman"/>
          <w:b/>
          <w:sz w:val="24"/>
          <w:szCs w:val="28"/>
          <w:lang w:val="en-US"/>
        </w:rPr>
        <w:instrText>ru</w:instrText>
      </w:r>
      <w:r w:rsidRPr="005B381F">
        <w:rPr>
          <w:rStyle w:val="a5"/>
          <w:rFonts w:ascii="Times New Roman" w:hAnsi="Times New Roman" w:cs="Times New Roman"/>
          <w:b/>
          <w:sz w:val="24"/>
          <w:szCs w:val="28"/>
        </w:rPr>
        <w:instrText xml:space="preserve">" </w:instrText>
      </w:r>
      <w:r>
        <w:rPr>
          <w:rStyle w:val="a5"/>
          <w:rFonts w:ascii="Times New Roman" w:hAnsi="Times New Roman" w:cs="Times New Roman"/>
          <w:b/>
          <w:sz w:val="24"/>
          <w:szCs w:val="28"/>
          <w:lang w:val="en-US"/>
        </w:rPr>
        <w:fldChar w:fldCharType="separate"/>
      </w:r>
      <w:r w:rsidR="0041184E" w:rsidRPr="0099096D">
        <w:rPr>
          <w:rStyle w:val="a5"/>
          <w:rFonts w:ascii="Times New Roman" w:hAnsi="Times New Roman" w:cs="Times New Roman"/>
          <w:b/>
          <w:sz w:val="24"/>
          <w:szCs w:val="28"/>
          <w:lang w:val="en-US"/>
        </w:rPr>
        <w:t>pressto</w:t>
      </w:r>
      <w:r w:rsidR="0041184E" w:rsidRPr="0041184E">
        <w:rPr>
          <w:rStyle w:val="a5"/>
          <w:rFonts w:ascii="Times New Roman" w:hAnsi="Times New Roman" w:cs="Times New Roman"/>
          <w:b/>
          <w:sz w:val="24"/>
          <w:szCs w:val="28"/>
        </w:rPr>
        <w:t>42@</w:t>
      </w:r>
      <w:r w:rsidR="0041184E" w:rsidRPr="0099096D">
        <w:rPr>
          <w:rStyle w:val="a5"/>
          <w:rFonts w:ascii="Times New Roman" w:hAnsi="Times New Roman" w:cs="Times New Roman"/>
          <w:b/>
          <w:sz w:val="24"/>
          <w:szCs w:val="28"/>
          <w:lang w:val="en-US"/>
        </w:rPr>
        <w:t>fas</w:t>
      </w:r>
      <w:r w:rsidR="0041184E" w:rsidRPr="0041184E">
        <w:rPr>
          <w:rStyle w:val="a5"/>
          <w:rFonts w:ascii="Times New Roman" w:hAnsi="Times New Roman" w:cs="Times New Roman"/>
          <w:b/>
          <w:sz w:val="24"/>
          <w:szCs w:val="28"/>
        </w:rPr>
        <w:t>.</w:t>
      </w:r>
      <w:r w:rsidR="0041184E" w:rsidRPr="0099096D">
        <w:rPr>
          <w:rStyle w:val="a5"/>
          <w:rFonts w:ascii="Times New Roman" w:hAnsi="Times New Roman" w:cs="Times New Roman"/>
          <w:b/>
          <w:sz w:val="24"/>
          <w:szCs w:val="28"/>
          <w:lang w:val="en-US"/>
        </w:rPr>
        <w:t>gov</w:t>
      </w:r>
      <w:r w:rsidR="0041184E" w:rsidRPr="0041184E">
        <w:rPr>
          <w:rStyle w:val="a5"/>
          <w:rFonts w:ascii="Times New Roman" w:hAnsi="Times New Roman" w:cs="Times New Roman"/>
          <w:b/>
          <w:sz w:val="24"/>
          <w:szCs w:val="28"/>
        </w:rPr>
        <w:t>.</w:t>
      </w:r>
      <w:proofErr w:type="spellStart"/>
      <w:r w:rsidR="0041184E" w:rsidRPr="0099096D">
        <w:rPr>
          <w:rStyle w:val="a5"/>
          <w:rFonts w:ascii="Times New Roman" w:hAnsi="Times New Roman" w:cs="Times New Roman"/>
          <w:b/>
          <w:sz w:val="24"/>
          <w:szCs w:val="28"/>
          <w:lang w:val="en-US"/>
        </w:rPr>
        <w:t>ru</w:t>
      </w:r>
      <w:proofErr w:type="spellEnd"/>
      <w:r>
        <w:rPr>
          <w:rStyle w:val="a5"/>
          <w:rFonts w:ascii="Times New Roman" w:hAnsi="Times New Roman" w:cs="Times New Roman"/>
          <w:b/>
          <w:sz w:val="24"/>
          <w:szCs w:val="28"/>
          <w:lang w:val="en-US"/>
        </w:rPr>
        <w:fldChar w:fldCharType="end"/>
      </w:r>
    </w:p>
    <w:p w:rsidR="002423E9" w:rsidRDefault="002423E9" w:rsidP="00242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585" w:rsidRDefault="00051585" w:rsidP="00D247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11B" w:rsidRPr="009B4C98" w:rsidRDefault="0067011B" w:rsidP="009B4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C98">
        <w:rPr>
          <w:rFonts w:ascii="Times New Roman" w:hAnsi="Times New Roman" w:cs="Times New Roman"/>
          <w:sz w:val="28"/>
          <w:szCs w:val="28"/>
        </w:rPr>
        <w:t xml:space="preserve">За 2019 год Кемеровское УФАС России выявило и пресекло </w:t>
      </w:r>
      <w:r w:rsidRPr="009B4C98">
        <w:rPr>
          <w:rFonts w:ascii="Times New Roman" w:hAnsi="Times New Roman" w:cs="Times New Roman"/>
          <w:b/>
          <w:sz w:val="28"/>
          <w:szCs w:val="28"/>
        </w:rPr>
        <w:t xml:space="preserve">42 </w:t>
      </w:r>
      <w:r w:rsidRPr="009B4C98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(</w:t>
      </w:r>
      <w:r w:rsidRPr="009B4C98">
        <w:rPr>
          <w:rFonts w:ascii="Times New Roman" w:hAnsi="Times New Roman" w:cs="Times New Roman"/>
          <w:i/>
          <w:sz w:val="28"/>
          <w:szCs w:val="28"/>
        </w:rPr>
        <w:t>и них 23 устранено до момента возбуждения дела вследствие исполнения антимонопольного предупреждения</w:t>
      </w:r>
      <w:r w:rsidRPr="009B4C98">
        <w:rPr>
          <w:rFonts w:ascii="Times New Roman" w:hAnsi="Times New Roman" w:cs="Times New Roman"/>
          <w:sz w:val="28"/>
          <w:szCs w:val="28"/>
        </w:rPr>
        <w:t>).</w:t>
      </w:r>
    </w:p>
    <w:p w:rsidR="0067011B" w:rsidRPr="009B4C98" w:rsidRDefault="0067011B" w:rsidP="009B4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C98">
        <w:rPr>
          <w:rFonts w:ascii="Times New Roman" w:hAnsi="Times New Roman" w:cs="Times New Roman"/>
          <w:sz w:val="28"/>
          <w:szCs w:val="28"/>
        </w:rPr>
        <w:t>Это в очередной раз подчеркивает значение предупредительной практики для деятельности ведомства в целом. Предупреждения, выданные компаниям, в действиях которых мы усмотрели нарушения (отметим, что относится не ко всем статьям Закона о защите конкуренции),</w:t>
      </w:r>
      <w:r w:rsidR="005C3AF8">
        <w:rPr>
          <w:rFonts w:ascii="Times New Roman" w:hAnsi="Times New Roman" w:cs="Times New Roman"/>
          <w:sz w:val="28"/>
          <w:szCs w:val="28"/>
        </w:rPr>
        <w:t xml:space="preserve"> </w:t>
      </w:r>
      <w:r w:rsidRPr="009B4C98">
        <w:rPr>
          <w:rFonts w:ascii="Times New Roman" w:hAnsi="Times New Roman" w:cs="Times New Roman"/>
          <w:sz w:val="28"/>
          <w:szCs w:val="28"/>
        </w:rPr>
        <w:t>значительно</w:t>
      </w:r>
      <w:r w:rsidR="005C3AF8">
        <w:rPr>
          <w:rFonts w:ascii="Times New Roman" w:hAnsi="Times New Roman" w:cs="Times New Roman"/>
          <w:sz w:val="28"/>
          <w:szCs w:val="28"/>
        </w:rPr>
        <w:t xml:space="preserve"> </w:t>
      </w:r>
      <w:r w:rsidRPr="009B4C98">
        <w:rPr>
          <w:rFonts w:ascii="Times New Roman" w:hAnsi="Times New Roman" w:cs="Times New Roman"/>
          <w:sz w:val="28"/>
          <w:szCs w:val="28"/>
        </w:rPr>
        <w:t>снизили</w:t>
      </w:r>
      <w:r w:rsidR="005C3AF8">
        <w:rPr>
          <w:rFonts w:ascii="Times New Roman" w:hAnsi="Times New Roman" w:cs="Times New Roman"/>
          <w:sz w:val="28"/>
          <w:szCs w:val="28"/>
        </w:rPr>
        <w:t xml:space="preserve"> </w:t>
      </w:r>
      <w:r w:rsidRPr="009B4C98">
        <w:rPr>
          <w:rFonts w:ascii="Times New Roman" w:hAnsi="Times New Roman" w:cs="Times New Roman"/>
          <w:sz w:val="28"/>
          <w:szCs w:val="28"/>
        </w:rPr>
        <w:t xml:space="preserve">временные, материальные затраты, а также нагрузку на общества и индивидуальных предпринимателей. Такая практика эффективна, поскольку в большинстве случаев нарушения антимонопольного законодательства устраняются </w:t>
      </w:r>
      <w:r w:rsidRPr="009B4C98">
        <w:rPr>
          <w:rFonts w:ascii="Times New Roman" w:hAnsi="Times New Roman" w:cs="Times New Roman"/>
          <w:b/>
          <w:sz w:val="28"/>
          <w:szCs w:val="28"/>
        </w:rPr>
        <w:t>в добровольном порядке</w:t>
      </w:r>
      <w:r w:rsidRPr="009B4C98">
        <w:rPr>
          <w:rFonts w:ascii="Times New Roman" w:hAnsi="Times New Roman" w:cs="Times New Roman"/>
          <w:sz w:val="28"/>
          <w:szCs w:val="28"/>
        </w:rPr>
        <w:t xml:space="preserve">. </w:t>
      </w:r>
      <w:r w:rsidR="00172405" w:rsidRPr="009B4C98">
        <w:rPr>
          <w:rFonts w:ascii="Times New Roman" w:hAnsi="Times New Roman" w:cs="Times New Roman"/>
          <w:sz w:val="28"/>
          <w:szCs w:val="28"/>
        </w:rPr>
        <w:t>Всего 26 предупреждений выдало Кемеровское УФАС России в 2019 году.</w:t>
      </w:r>
    </w:p>
    <w:p w:rsidR="0067011B" w:rsidRPr="009B4C98" w:rsidRDefault="0067011B" w:rsidP="009B4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C98">
        <w:rPr>
          <w:rFonts w:ascii="Times New Roman" w:hAnsi="Times New Roman" w:cs="Times New Roman"/>
          <w:sz w:val="28"/>
          <w:szCs w:val="28"/>
        </w:rPr>
        <w:t>На конференции по итогам 2018 года мы впервые рассказали вам о новой практике: направляя предупреждение, чтобы пресечь недобросовестную конкуренцию, Кемеровское УФАС указывало на необходимость перечислить незаконно полученный доход в бюджет. Не доводя до возбуждения дела</w:t>
      </w:r>
      <w:r w:rsidR="005C3AF8">
        <w:rPr>
          <w:rFonts w:ascii="Times New Roman" w:hAnsi="Times New Roman" w:cs="Times New Roman"/>
          <w:sz w:val="28"/>
          <w:szCs w:val="28"/>
        </w:rPr>
        <w:t xml:space="preserve">. </w:t>
      </w:r>
      <w:r w:rsidRPr="009B4C98">
        <w:rPr>
          <w:rFonts w:ascii="Times New Roman" w:hAnsi="Times New Roman" w:cs="Times New Roman"/>
          <w:sz w:val="28"/>
          <w:szCs w:val="28"/>
        </w:rPr>
        <w:t xml:space="preserve">Таких предупреждений в 2018 году было 4. </w:t>
      </w:r>
      <w:r w:rsidR="00172405" w:rsidRPr="009B4C98">
        <w:rPr>
          <w:rFonts w:ascii="Times New Roman" w:hAnsi="Times New Roman" w:cs="Times New Roman"/>
          <w:sz w:val="28"/>
          <w:szCs w:val="28"/>
        </w:rPr>
        <w:t xml:space="preserve">Суть нарушения: </w:t>
      </w:r>
      <w:r w:rsidRPr="009B4C98">
        <w:rPr>
          <w:rFonts w:ascii="Times New Roman" w:hAnsi="Times New Roman" w:cs="Times New Roman"/>
          <w:sz w:val="28"/>
          <w:szCs w:val="28"/>
        </w:rPr>
        <w:t xml:space="preserve">несколько страховых компаний прибегали к недобросовестной конкуренции, участвуя в торгах на заключение </w:t>
      </w:r>
      <w:proofErr w:type="spellStart"/>
      <w:r w:rsidRPr="009B4C98"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 w:rsidRPr="009B4C98">
        <w:rPr>
          <w:rFonts w:ascii="Times New Roman" w:hAnsi="Times New Roman" w:cs="Times New Roman"/>
          <w:sz w:val="28"/>
          <w:szCs w:val="28"/>
        </w:rPr>
        <w:t xml:space="preserve"> с учреждениями для выдачи полисов ОСАГО. В ходе проведения электронных аукционов общества занижали коэффициенты (КБМ), установленные законодательством, и одерживали победу. </w:t>
      </w:r>
      <w:r w:rsidR="00172405" w:rsidRPr="009B4C98">
        <w:rPr>
          <w:rFonts w:ascii="Times New Roman" w:hAnsi="Times New Roman" w:cs="Times New Roman"/>
          <w:sz w:val="28"/>
          <w:szCs w:val="28"/>
        </w:rPr>
        <w:t>Общая сумма дохода, подлежащего перечислению в бюджет за 2018 год, составила 1 569 623, 63 руб</w:t>
      </w:r>
      <w:r w:rsidRPr="009B4C98">
        <w:rPr>
          <w:rFonts w:ascii="Times New Roman" w:hAnsi="Times New Roman" w:cs="Times New Roman"/>
          <w:sz w:val="28"/>
          <w:szCs w:val="28"/>
        </w:rPr>
        <w:t>.</w:t>
      </w:r>
      <w:r w:rsidR="00172405" w:rsidRPr="009B4C98">
        <w:rPr>
          <w:rFonts w:ascii="Times New Roman" w:hAnsi="Times New Roman" w:cs="Times New Roman"/>
          <w:sz w:val="28"/>
          <w:szCs w:val="28"/>
        </w:rPr>
        <w:t xml:space="preserve"> В 2019 году – 434 тысячи рублей.</w:t>
      </w:r>
    </w:p>
    <w:p w:rsidR="00172405" w:rsidRPr="009B4C98" w:rsidRDefault="00172405" w:rsidP="009B4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585" w:rsidRPr="009B4C98" w:rsidRDefault="005C3AF8" w:rsidP="009B4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72405" w:rsidRPr="009B4C98">
        <w:rPr>
          <w:rFonts w:ascii="Times New Roman" w:hAnsi="Times New Roman" w:cs="Times New Roman"/>
          <w:sz w:val="28"/>
          <w:szCs w:val="28"/>
        </w:rPr>
        <w:t>ольшая часть из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 </w:t>
      </w:r>
      <w:r w:rsidR="00051585" w:rsidRPr="009B4C98">
        <w:rPr>
          <w:rFonts w:ascii="Times New Roman" w:hAnsi="Times New Roman" w:cs="Times New Roman"/>
          <w:b/>
          <w:sz w:val="28"/>
          <w:szCs w:val="28"/>
        </w:rPr>
        <w:t>заявлений юридических и физических лиц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72405" w:rsidRPr="009B4C98">
        <w:rPr>
          <w:rFonts w:ascii="Times New Roman" w:hAnsi="Times New Roman" w:cs="Times New Roman"/>
          <w:b/>
          <w:sz w:val="28"/>
          <w:szCs w:val="28"/>
        </w:rPr>
        <w:t>466</w:t>
      </w:r>
      <w:r w:rsidR="00172405" w:rsidRPr="009B4C9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172405" w:rsidRPr="009B4C98">
        <w:rPr>
          <w:rFonts w:ascii="Times New Roman" w:hAnsi="Times New Roman" w:cs="Times New Roman"/>
          <w:sz w:val="28"/>
          <w:szCs w:val="28"/>
        </w:rPr>
        <w:t xml:space="preserve"> 2019 году, </w:t>
      </w:r>
      <w:r w:rsidR="00051585" w:rsidRPr="009B4C98">
        <w:rPr>
          <w:rFonts w:ascii="Times New Roman" w:hAnsi="Times New Roman" w:cs="Times New Roman"/>
          <w:sz w:val="28"/>
          <w:szCs w:val="28"/>
        </w:rPr>
        <w:t>452 в 2018 году), указывающих на признак</w:t>
      </w:r>
      <w:r w:rsidR="0067011B" w:rsidRPr="009B4C98">
        <w:rPr>
          <w:rFonts w:ascii="Times New Roman" w:hAnsi="Times New Roman" w:cs="Times New Roman"/>
          <w:sz w:val="28"/>
          <w:szCs w:val="28"/>
        </w:rPr>
        <w:t>и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172405" w:rsidRPr="009B4C98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законодательства, относятся к статье </w:t>
      </w:r>
      <w:r w:rsidR="00051585" w:rsidRPr="009B4C98">
        <w:rPr>
          <w:rFonts w:ascii="Times New Roman" w:hAnsi="Times New Roman" w:cs="Times New Roman"/>
          <w:sz w:val="28"/>
          <w:szCs w:val="28"/>
        </w:rPr>
        <w:t>10 Закона о защите конкуренции (установление, поддержание монопольно высокой цены товара).</w:t>
      </w:r>
      <w:r w:rsidR="00051585" w:rsidRPr="009B4C98">
        <w:rPr>
          <w:sz w:val="28"/>
          <w:szCs w:val="28"/>
        </w:rPr>
        <w:t xml:space="preserve">  </w:t>
      </w:r>
    </w:p>
    <w:p w:rsidR="00051585" w:rsidRPr="009B4C98" w:rsidRDefault="00051585" w:rsidP="009B4C98">
      <w:pPr>
        <w:pStyle w:val="31"/>
        <w:spacing w:line="276" w:lineRule="auto"/>
        <w:ind w:left="0" w:firstLine="0"/>
        <w:jc w:val="both"/>
        <w:rPr>
          <w:szCs w:val="28"/>
          <w:highlight w:val="yellow"/>
        </w:rPr>
      </w:pPr>
    </w:p>
    <w:p w:rsidR="00051585" w:rsidRPr="009B4C98" w:rsidRDefault="00172405" w:rsidP="009B4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C98">
        <w:rPr>
          <w:rFonts w:ascii="Times New Roman" w:hAnsi="Times New Roman" w:cs="Times New Roman"/>
          <w:sz w:val="28"/>
          <w:szCs w:val="28"/>
        </w:rPr>
        <w:t>Отдельно об актах органов власти, которые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 Кемеровское УФАС России </w:t>
      </w:r>
      <w:r w:rsidRPr="009B4C98">
        <w:rPr>
          <w:rFonts w:ascii="Times New Roman" w:hAnsi="Times New Roman" w:cs="Times New Roman"/>
          <w:sz w:val="28"/>
          <w:szCs w:val="28"/>
        </w:rPr>
        <w:t>изучало на предмет нарушения антимонопольного законодательства.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 </w:t>
      </w:r>
      <w:r w:rsidRPr="009B4C98">
        <w:rPr>
          <w:rFonts w:ascii="Times New Roman" w:hAnsi="Times New Roman" w:cs="Times New Roman"/>
          <w:sz w:val="28"/>
          <w:szCs w:val="28"/>
        </w:rPr>
        <w:t xml:space="preserve">Управление изучило </w:t>
      </w:r>
      <w:proofErr w:type="gramStart"/>
      <w:r w:rsidRPr="009B4C98">
        <w:rPr>
          <w:rFonts w:ascii="Times New Roman" w:hAnsi="Times New Roman" w:cs="Times New Roman"/>
          <w:sz w:val="28"/>
          <w:szCs w:val="28"/>
        </w:rPr>
        <w:t xml:space="preserve">945  </w:t>
      </w:r>
      <w:r w:rsidR="00051585" w:rsidRPr="009B4C98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051585" w:rsidRPr="009B4C98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субъекта, органов местного самоуправления и иных наделенных функциями органов власти организаций</w:t>
      </w:r>
      <w:r w:rsidRPr="009B4C98">
        <w:rPr>
          <w:rFonts w:ascii="Times New Roman" w:hAnsi="Times New Roman" w:cs="Times New Roman"/>
          <w:sz w:val="28"/>
          <w:szCs w:val="28"/>
        </w:rPr>
        <w:t>.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 Выявлено 3 акта органов местного самоуправления (Калтан, Прокопьевск, Таштагол), в которых установлено наличие нарушения Закона о защите конкуренции. Замечания </w:t>
      </w:r>
      <w:r w:rsidR="00051585" w:rsidRPr="009B4C98">
        <w:rPr>
          <w:rFonts w:ascii="Times New Roman" w:hAnsi="Times New Roman" w:cs="Times New Roman"/>
          <w:sz w:val="28"/>
          <w:szCs w:val="28"/>
        </w:rPr>
        <w:lastRenderedPageBreak/>
        <w:t>Кемеровского УФАС России были учтены во всех случаях без судебного вмешательства.</w:t>
      </w:r>
    </w:p>
    <w:p w:rsidR="00051585" w:rsidRPr="009B4C98" w:rsidRDefault="00051585" w:rsidP="009B4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585" w:rsidRPr="009B4C98" w:rsidRDefault="00051585" w:rsidP="009B4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C98">
        <w:rPr>
          <w:rFonts w:ascii="Times New Roman" w:hAnsi="Times New Roman" w:cs="Times New Roman"/>
          <w:sz w:val="28"/>
          <w:szCs w:val="28"/>
        </w:rPr>
        <w:t xml:space="preserve">Кроме того, в указанном периоде </w:t>
      </w:r>
      <w:r w:rsidR="00172405" w:rsidRPr="009B4C98">
        <w:rPr>
          <w:rFonts w:ascii="Times New Roman" w:hAnsi="Times New Roman" w:cs="Times New Roman"/>
          <w:sz w:val="28"/>
          <w:szCs w:val="28"/>
        </w:rPr>
        <w:t>мы рассмотрели</w:t>
      </w:r>
      <w:r w:rsidRPr="009B4C98">
        <w:rPr>
          <w:rFonts w:ascii="Times New Roman" w:hAnsi="Times New Roman" w:cs="Times New Roman"/>
          <w:sz w:val="28"/>
          <w:szCs w:val="28"/>
        </w:rPr>
        <w:t xml:space="preserve"> 164 жалобы на нарушения процедуры торгов</w:t>
      </w:r>
      <w:r w:rsidR="00172405" w:rsidRPr="009B4C98">
        <w:rPr>
          <w:rFonts w:ascii="Times New Roman" w:hAnsi="Times New Roman" w:cs="Times New Roman"/>
          <w:sz w:val="28"/>
          <w:szCs w:val="28"/>
        </w:rPr>
        <w:t xml:space="preserve"> </w:t>
      </w:r>
      <w:r w:rsidRPr="009B4C98">
        <w:rPr>
          <w:rFonts w:ascii="Times New Roman" w:hAnsi="Times New Roman" w:cs="Times New Roman"/>
          <w:sz w:val="28"/>
          <w:szCs w:val="28"/>
        </w:rPr>
        <w:t xml:space="preserve">(по Федеральному закону «О закупках товаров, работ, услуг отдельными видами юридических лиц» от 18.07.2011 № 223-ФЗ; по аренде муниципального имущества и земельных участков, находящихся в муниципальной собственности; по Федеральному закону «О несостоятельности (банкротстве)» от 26.10.2002 № 127-ФЗ; по Федеральному закону «Об исполнительном производстве» от 02.10.2007 № 229-ФЗ; по Федеральному закону «Об ипотеке (залоге недвижимости)» от 16.07.1998 № 102-ФЗ). Из них 64 жалобы признаны </w:t>
      </w:r>
      <w:r w:rsidRPr="009B4C98">
        <w:rPr>
          <w:rFonts w:ascii="Times New Roman" w:hAnsi="Times New Roman" w:cs="Times New Roman"/>
          <w:b/>
          <w:sz w:val="28"/>
          <w:szCs w:val="28"/>
        </w:rPr>
        <w:t>обоснованными</w:t>
      </w:r>
      <w:r w:rsidRPr="009B4C98">
        <w:rPr>
          <w:rFonts w:ascii="Times New Roman" w:hAnsi="Times New Roman" w:cs="Times New Roman"/>
          <w:sz w:val="28"/>
          <w:szCs w:val="28"/>
        </w:rPr>
        <w:t>.</w:t>
      </w:r>
      <w:r w:rsidR="008E6111" w:rsidRPr="009B4C98">
        <w:rPr>
          <w:rFonts w:ascii="Times New Roman" w:hAnsi="Times New Roman" w:cs="Times New Roman"/>
          <w:sz w:val="28"/>
          <w:szCs w:val="28"/>
        </w:rPr>
        <w:t xml:space="preserve"> Т.е. в самой процедуре закупки были нарушения со стороны организатора (в документации или определении победителя, например)</w:t>
      </w:r>
    </w:p>
    <w:p w:rsidR="00051585" w:rsidRPr="009B4C98" w:rsidRDefault="00051585" w:rsidP="009B4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585" w:rsidRPr="009B4C98" w:rsidRDefault="008E6111" w:rsidP="009B4C9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4C98">
        <w:rPr>
          <w:rFonts w:ascii="Times New Roman" w:hAnsi="Times New Roman" w:cs="Times New Roman"/>
          <w:sz w:val="28"/>
          <w:szCs w:val="28"/>
        </w:rPr>
        <w:t xml:space="preserve">От антимонопольного законодательства перейдем к рекламной сфере. </w:t>
      </w:r>
      <w:r w:rsidR="00051585" w:rsidRPr="009B4C98">
        <w:rPr>
          <w:rFonts w:ascii="Times New Roman" w:hAnsi="Times New Roman" w:cs="Times New Roman"/>
          <w:sz w:val="28"/>
          <w:szCs w:val="28"/>
        </w:rPr>
        <w:t>В 2019</w:t>
      </w:r>
      <w:r w:rsidR="00F9672D" w:rsidRPr="009B4C9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51585" w:rsidRPr="009B4C98">
        <w:rPr>
          <w:rFonts w:ascii="Times New Roman" w:hAnsi="Times New Roman" w:cs="Times New Roman"/>
          <w:sz w:val="28"/>
          <w:szCs w:val="28"/>
        </w:rPr>
        <w:t>Кемеровско</w:t>
      </w:r>
      <w:r w:rsidR="00F9672D" w:rsidRPr="009B4C98">
        <w:rPr>
          <w:rFonts w:ascii="Times New Roman" w:hAnsi="Times New Roman" w:cs="Times New Roman"/>
          <w:sz w:val="28"/>
          <w:szCs w:val="28"/>
        </w:rPr>
        <w:t>е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F9672D" w:rsidRPr="009B4C98">
        <w:rPr>
          <w:rFonts w:ascii="Times New Roman" w:hAnsi="Times New Roman" w:cs="Times New Roman"/>
          <w:sz w:val="28"/>
          <w:szCs w:val="28"/>
        </w:rPr>
        <w:t>рассмотрело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 </w:t>
      </w:r>
      <w:r w:rsidR="00051585" w:rsidRPr="009B4C98">
        <w:rPr>
          <w:rFonts w:ascii="Times New Roman" w:hAnsi="Times New Roman" w:cs="Times New Roman"/>
          <w:b/>
          <w:sz w:val="28"/>
          <w:szCs w:val="28"/>
        </w:rPr>
        <w:t>267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   </w:t>
      </w:r>
      <w:r w:rsidR="00051585" w:rsidRPr="009B4C98"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, указывающих на нарушения требований Закона о рекламе (в 2018 году – </w:t>
      </w:r>
      <w:r w:rsidR="00051585" w:rsidRPr="009B4C98">
        <w:rPr>
          <w:rFonts w:ascii="Times New Roman" w:hAnsi="Times New Roman" w:cs="Times New Roman"/>
          <w:b/>
          <w:sz w:val="28"/>
          <w:szCs w:val="28"/>
        </w:rPr>
        <w:t>204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 заявления).</w:t>
      </w:r>
      <w:r w:rsidR="00F9672D" w:rsidRPr="009B4C98">
        <w:rPr>
          <w:rFonts w:ascii="Times New Roman" w:hAnsi="Times New Roman" w:cs="Times New Roman"/>
          <w:sz w:val="28"/>
          <w:szCs w:val="28"/>
        </w:rPr>
        <w:t xml:space="preserve"> В 109 случаях было отказано в возбуждении дела –</w:t>
      </w:r>
      <w:r w:rsidR="009C7035">
        <w:rPr>
          <w:rFonts w:ascii="Times New Roman" w:hAnsi="Times New Roman" w:cs="Times New Roman"/>
          <w:sz w:val="28"/>
          <w:szCs w:val="28"/>
        </w:rPr>
        <w:t xml:space="preserve"> 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в связи с отсутствием нарушений Закона о рекламе. </w:t>
      </w:r>
      <w:r w:rsidR="00F9672D" w:rsidRPr="009B4C98">
        <w:rPr>
          <w:rFonts w:ascii="Times New Roman" w:hAnsi="Times New Roman" w:cs="Times New Roman"/>
          <w:sz w:val="28"/>
          <w:szCs w:val="28"/>
        </w:rPr>
        <w:t>Таким образом, с учетом дел, возбужденных по собственной инициативе управления,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 </w:t>
      </w:r>
      <w:r w:rsidR="00F9672D" w:rsidRPr="009B4C9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51585" w:rsidRPr="009B4C98">
        <w:rPr>
          <w:rFonts w:ascii="Times New Roman" w:hAnsi="Times New Roman" w:cs="Times New Roman"/>
          <w:b/>
          <w:sz w:val="28"/>
          <w:szCs w:val="28"/>
        </w:rPr>
        <w:t>135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 </w:t>
      </w:r>
      <w:r w:rsidR="00051585" w:rsidRPr="009B4C98">
        <w:rPr>
          <w:rFonts w:ascii="Times New Roman" w:hAnsi="Times New Roman" w:cs="Times New Roman"/>
          <w:b/>
          <w:sz w:val="28"/>
          <w:szCs w:val="28"/>
        </w:rPr>
        <w:t>дел</w:t>
      </w:r>
      <w:r w:rsidR="00F9672D" w:rsidRPr="009B4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приняты решения о наличии нарушений. Выдано </w:t>
      </w:r>
      <w:r w:rsidR="00051585" w:rsidRPr="009B4C98">
        <w:rPr>
          <w:rFonts w:ascii="Times New Roman" w:hAnsi="Times New Roman" w:cs="Times New Roman"/>
          <w:b/>
          <w:sz w:val="28"/>
          <w:szCs w:val="28"/>
        </w:rPr>
        <w:t>71 предписание</w:t>
      </w:r>
      <w:r w:rsidR="00051585" w:rsidRPr="009B4C98">
        <w:rPr>
          <w:rFonts w:ascii="Times New Roman" w:hAnsi="Times New Roman" w:cs="Times New Roman"/>
          <w:sz w:val="28"/>
          <w:szCs w:val="28"/>
        </w:rPr>
        <w:t>.</w:t>
      </w:r>
    </w:p>
    <w:p w:rsidR="00051585" w:rsidRPr="009B4C98" w:rsidRDefault="00051585" w:rsidP="009B4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C98">
        <w:rPr>
          <w:rFonts w:ascii="Times New Roman" w:hAnsi="Times New Roman" w:cs="Times New Roman"/>
          <w:sz w:val="28"/>
          <w:szCs w:val="28"/>
        </w:rPr>
        <w:t>Наиболее часто встречающ</w:t>
      </w:r>
      <w:r w:rsidR="00F9672D" w:rsidRPr="009B4C98">
        <w:rPr>
          <w:rFonts w:ascii="Times New Roman" w:hAnsi="Times New Roman" w:cs="Times New Roman"/>
          <w:sz w:val="28"/>
          <w:szCs w:val="28"/>
        </w:rPr>
        <w:t>и</w:t>
      </w:r>
      <w:r w:rsidRPr="009B4C98">
        <w:rPr>
          <w:rFonts w:ascii="Times New Roman" w:hAnsi="Times New Roman" w:cs="Times New Roman"/>
          <w:sz w:val="28"/>
          <w:szCs w:val="28"/>
        </w:rPr>
        <w:t>еся нарушения законодательства о рекламе приходятся на недобросовестную, недостоверную рекламу, в том числе рекламу с отсутствием существенной информации.</w:t>
      </w:r>
      <w:r w:rsidR="00F9672D" w:rsidRPr="009B4C98">
        <w:rPr>
          <w:rFonts w:ascii="Times New Roman" w:hAnsi="Times New Roman" w:cs="Times New Roman"/>
          <w:sz w:val="28"/>
          <w:szCs w:val="28"/>
        </w:rPr>
        <w:t xml:space="preserve"> Отметим, что возрастает количество заявлений и дел по так называемым спам-звонкам, рекламе, распространенной через телефонные звонки (</w:t>
      </w:r>
      <w:r w:rsidR="009C7035">
        <w:rPr>
          <w:rFonts w:ascii="Times New Roman" w:hAnsi="Times New Roman" w:cs="Times New Roman"/>
          <w:sz w:val="28"/>
          <w:szCs w:val="28"/>
        </w:rPr>
        <w:t>около</w:t>
      </w:r>
      <w:r w:rsidR="00F9672D" w:rsidRPr="009B4C98">
        <w:rPr>
          <w:rFonts w:ascii="Times New Roman" w:hAnsi="Times New Roman" w:cs="Times New Roman"/>
          <w:sz w:val="28"/>
          <w:szCs w:val="28"/>
        </w:rPr>
        <w:t xml:space="preserve"> 10 таких нарушений мы установили в 2019 году). В предыдущие годы заявления поступали в основном на смс-спам.</w:t>
      </w:r>
    </w:p>
    <w:p w:rsidR="00051585" w:rsidRPr="009B4C98" w:rsidRDefault="00051585" w:rsidP="009B4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585" w:rsidRPr="009B4C98" w:rsidRDefault="00F9672D" w:rsidP="009B4C98">
      <w:pPr>
        <w:pStyle w:val="1"/>
        <w:spacing w:before="0" w:after="144" w:line="276" w:lineRule="auto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9B4C98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Переходим к сфере государственных и муниципальных закупок. 1101 жалоба поступила в управление в 2019 году в этой сфере</w:t>
      </w:r>
      <w:r w:rsidR="009B4C98" w:rsidRPr="009B4C98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(незначительно выше 2018 года)</w:t>
      </w:r>
      <w:r w:rsidRPr="009B4C98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</w:t>
      </w:r>
      <w:r w:rsidR="009B4C98" w:rsidRPr="009B4C98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Порядка 250 жалоб отозвали сами заявители или были возвращены из-за нарушения порядка обращения (например, при направлении в электронном виде отсутствовала ЭЦП или были пропущены сроки обжалования). Обоснованными были признаны только 275 жалоб.</w:t>
      </w:r>
    </w:p>
    <w:p w:rsidR="00051585" w:rsidRPr="009B4C98" w:rsidRDefault="009B4C98" w:rsidP="009B4C9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C98">
        <w:rPr>
          <w:rFonts w:ascii="Times New Roman" w:hAnsi="Times New Roman" w:cs="Times New Roman"/>
          <w:sz w:val="28"/>
          <w:szCs w:val="28"/>
        </w:rPr>
        <w:t>145 хозяйствующих субъектов включили в Реестр недобросовестных поставщиков. Это те компании или ИП, которые стали победителями по итогам закупок, но нарушили условия договора или не стали исполнять контракт.</w:t>
      </w:r>
    </w:p>
    <w:p w:rsidR="00051585" w:rsidRPr="009B4C98" w:rsidRDefault="009B4C98" w:rsidP="009B4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C98">
        <w:rPr>
          <w:rFonts w:ascii="Times New Roman" w:hAnsi="Times New Roman" w:cs="Times New Roman"/>
          <w:sz w:val="28"/>
          <w:szCs w:val="28"/>
        </w:rPr>
        <w:t>Теперь о штрафах, которые Кемеровское УФАС России назначило нарушителям в 2019 году. Так,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 </w:t>
      </w:r>
      <w:r w:rsidRPr="009B4C98">
        <w:rPr>
          <w:rFonts w:ascii="Times New Roman" w:hAnsi="Times New Roman" w:cs="Times New Roman"/>
          <w:sz w:val="28"/>
          <w:szCs w:val="28"/>
        </w:rPr>
        <w:t>за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 нарушения антимонопольного, рекламного, закупочного законодательства </w:t>
      </w:r>
      <w:r w:rsidRPr="009B4C98">
        <w:rPr>
          <w:rFonts w:ascii="Times New Roman" w:hAnsi="Times New Roman" w:cs="Times New Roman"/>
          <w:sz w:val="28"/>
          <w:szCs w:val="28"/>
        </w:rPr>
        <w:t xml:space="preserve">антимонопольный орган назначил штрафы 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051585" w:rsidRPr="009B4C98">
        <w:rPr>
          <w:rFonts w:ascii="Times New Roman" w:hAnsi="Times New Roman" w:cs="Times New Roman"/>
          <w:b/>
          <w:sz w:val="28"/>
          <w:szCs w:val="28"/>
        </w:rPr>
        <w:t>46 483 000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9B4C98">
        <w:rPr>
          <w:rFonts w:ascii="Times New Roman" w:hAnsi="Times New Roman" w:cs="Times New Roman"/>
          <w:sz w:val="28"/>
          <w:szCs w:val="28"/>
        </w:rPr>
        <w:t xml:space="preserve">Из них уплатили </w:t>
      </w:r>
      <w:r w:rsidR="00051585" w:rsidRPr="009B4C98">
        <w:rPr>
          <w:rFonts w:ascii="Times New Roman" w:hAnsi="Times New Roman" w:cs="Times New Roman"/>
          <w:b/>
          <w:sz w:val="28"/>
          <w:szCs w:val="28"/>
        </w:rPr>
        <w:t>20 430 000</w:t>
      </w:r>
      <w:r w:rsidR="00051585" w:rsidRPr="009B4C9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51585" w:rsidRPr="009B4C98" w:rsidRDefault="00051585" w:rsidP="009B4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CF" w:rsidRPr="009B4C98" w:rsidRDefault="008D7DCF" w:rsidP="009B4C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C98">
        <w:rPr>
          <w:rFonts w:ascii="Times New Roman" w:hAnsi="Times New Roman" w:cs="Times New Roman"/>
          <w:b/>
          <w:sz w:val="28"/>
          <w:szCs w:val="28"/>
          <w:u w:val="single"/>
        </w:rPr>
        <w:t>Национальный план</w:t>
      </w:r>
      <w:r w:rsidR="00F9672D" w:rsidRPr="009B4C98">
        <w:rPr>
          <w:rFonts w:ascii="Times New Roman" w:hAnsi="Times New Roman" w:cs="Times New Roman"/>
          <w:b/>
          <w:sz w:val="28"/>
          <w:szCs w:val="28"/>
          <w:u w:val="single"/>
        </w:rPr>
        <w:t xml:space="preserve">. О ликвидации </w:t>
      </w:r>
      <w:proofErr w:type="spellStart"/>
      <w:r w:rsidR="00F9672D" w:rsidRPr="009B4C98">
        <w:rPr>
          <w:rFonts w:ascii="Times New Roman" w:hAnsi="Times New Roman" w:cs="Times New Roman"/>
          <w:b/>
          <w:sz w:val="28"/>
          <w:szCs w:val="28"/>
          <w:u w:val="single"/>
        </w:rPr>
        <w:t>ГУПов</w:t>
      </w:r>
      <w:proofErr w:type="spellEnd"/>
      <w:r w:rsidR="00F9672D" w:rsidRPr="009B4C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="00F9672D" w:rsidRPr="009B4C98">
        <w:rPr>
          <w:rFonts w:ascii="Times New Roman" w:hAnsi="Times New Roman" w:cs="Times New Roman"/>
          <w:b/>
          <w:sz w:val="28"/>
          <w:szCs w:val="28"/>
          <w:u w:val="single"/>
        </w:rPr>
        <w:t>МУПов</w:t>
      </w:r>
      <w:proofErr w:type="spellEnd"/>
    </w:p>
    <w:p w:rsidR="008D7DCF" w:rsidRPr="009B4C98" w:rsidRDefault="008D7DCF" w:rsidP="009B4C98">
      <w:pPr>
        <w:pStyle w:val="af1"/>
        <w:spacing w:line="276" w:lineRule="auto"/>
        <w:jc w:val="both"/>
        <w:rPr>
          <w:sz w:val="28"/>
          <w:szCs w:val="28"/>
        </w:rPr>
      </w:pPr>
      <w:r w:rsidRPr="009B4C98">
        <w:rPr>
          <w:sz w:val="28"/>
          <w:szCs w:val="28"/>
        </w:rPr>
        <w:t>Основная задача антимонопольных органов сегодня – реализация положений Национального плана развития конкуренции.</w:t>
      </w:r>
    </w:p>
    <w:p w:rsidR="008D7DCF" w:rsidRPr="009B4C98" w:rsidRDefault="008D7DCF" w:rsidP="009B4C98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план утвержден Указом Президента РФ от 21.12.2017 № 618. Он предусматривает определение основных направлений государственной политики по развитию конкуренции; основных стратегических целей, принципов государственной политики по развитию конкуренции, а также ключевых показателей в наиболее актуальных отраслях экономики (видах деятельности), а также объединение деятельности и усилий в этом направлении всех ветвей и уровней власти, институтов гражданского общества.</w:t>
      </w:r>
    </w:p>
    <w:p w:rsidR="008D7DCF" w:rsidRPr="009B4C98" w:rsidRDefault="008D7DCF" w:rsidP="009B4C98">
      <w:pPr>
        <w:pStyle w:val="af1"/>
        <w:spacing w:line="276" w:lineRule="auto"/>
        <w:jc w:val="both"/>
        <w:rPr>
          <w:sz w:val="28"/>
          <w:szCs w:val="28"/>
        </w:rPr>
      </w:pPr>
    </w:p>
    <w:p w:rsidR="00127000" w:rsidRPr="00127000" w:rsidRDefault="00127000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Федеральной антимонопольной службы направлена на развитие конкуренции в стране. Особое внимание в настоящее время уделено изменению многих товарных рынков, точнее их переходу из состояния государственного или муниципального управления в состояние конкурентных рынков.</w:t>
      </w:r>
    </w:p>
    <w:p w:rsidR="00127000" w:rsidRPr="00127000" w:rsidRDefault="00127000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происходит благодаря в том числе вступлению в силу Федерального закона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конкуренции»». Согласно изменениям, не допускается создание унитарных предприятий или изменение видов их деятельности на товарных рынках, находящихся в условиях конкуренции.</w:t>
      </w:r>
    </w:p>
    <w:p w:rsidR="00127000" w:rsidRPr="00127000" w:rsidRDefault="00127000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закон запрещает создание </w:t>
      </w:r>
      <w:proofErr w:type="spellStart"/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МУПов</w:t>
      </w:r>
      <w:proofErr w:type="spellEnd"/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ГУПов</w:t>
      </w:r>
      <w:proofErr w:type="spellEnd"/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начала своего действия) и при этом предполагает ликвидацию или реорганизацию ранее созданных государственных и муниципальных предприятий в форме унитарных до 1 января 2025 года.</w:t>
      </w:r>
    </w:p>
    <w:p w:rsidR="00127000" w:rsidRPr="00127000" w:rsidRDefault="00127000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ряд исключений, при которых деятельность </w:t>
      </w:r>
      <w:proofErr w:type="spellStart"/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ГУПов</w:t>
      </w:r>
      <w:proofErr w:type="spellEnd"/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МУПов</w:t>
      </w:r>
      <w:proofErr w:type="spellEnd"/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возможна:</w:t>
      </w:r>
    </w:p>
    <w:p w:rsidR="00127000" w:rsidRPr="00127000" w:rsidRDefault="00127000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случае, если это предусмотрено федеральными законами, актами Президента РФ или правительства РФ;</w:t>
      </w:r>
    </w:p>
    <w:p w:rsidR="00127000" w:rsidRPr="00127000" w:rsidRDefault="00127000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обеспечения деятельности федеральных органов исполнительной власти в области обороны, разведывательной деятельности, мобилизационной подготовки, транспортной безопасности и т.д.;</w:t>
      </w:r>
    </w:p>
    <w:p w:rsidR="00127000" w:rsidRPr="00127000" w:rsidRDefault="00127000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сфере естественных монополий;</w:t>
      </w:r>
    </w:p>
    <w:p w:rsidR="00127000" w:rsidRPr="00127000" w:rsidRDefault="00127000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жизнедеятельности населения в условиях крайнего севера;</w:t>
      </w:r>
    </w:p>
    <w:p w:rsidR="00127000" w:rsidRPr="00127000" w:rsidRDefault="00127000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 в сфере культуры, искусства, кинематографии;</w:t>
      </w:r>
    </w:p>
    <w:p w:rsidR="00127000" w:rsidRPr="00127000" w:rsidRDefault="00127000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 за пределами РФ;</w:t>
      </w:r>
    </w:p>
    <w:p w:rsidR="00127000" w:rsidRPr="00127000" w:rsidRDefault="00127000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 в области обращения с радиоактивными отходами.</w:t>
      </w:r>
    </w:p>
    <w:p w:rsidR="00127000" w:rsidRPr="00127000" w:rsidRDefault="00127000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ФАС России предлагает органам власти субъектов совместно с органами местного самоуправления при содействии территориальных антимонопольных органов </w:t>
      </w:r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разработать план мероприятий по реформированию унитарных предприятий до 1 января 2025 года. В этот план целесообразно включить перечень предприятий, подлежащих сохранению (по основаниям, предусмотренным Федеральным законом № 485-ФЗ); перечень унитарных предприятий, подлежащих реорганизации или ликвидации; прогноз затрат, связанных с этими мероприятиями.</w:t>
      </w:r>
    </w:p>
    <w:p w:rsidR="00127000" w:rsidRDefault="00127000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разработке планов должна закончится до сентября 2020 года.</w:t>
      </w:r>
    </w:p>
    <w:p w:rsidR="00C3694D" w:rsidRPr="00C3694D" w:rsidRDefault="00C3694D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94D" w:rsidRPr="00C3694D" w:rsidRDefault="00C3694D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Спам-звонки</w:t>
      </w:r>
    </w:p>
    <w:p w:rsidR="00C3694D" w:rsidRDefault="00C3694D" w:rsidP="00C3694D">
      <w:pPr>
        <w:pStyle w:val="af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2019 года появилась новая практика в управлении.</w:t>
      </w:r>
    </w:p>
    <w:p w:rsidR="00C3694D" w:rsidRDefault="00C3694D" w:rsidP="00C3694D">
      <w:pPr>
        <w:pStyle w:val="af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67EC">
        <w:rPr>
          <w:sz w:val="28"/>
          <w:szCs w:val="28"/>
        </w:rPr>
        <w:t>ействующим законодательством рекламная рассылка без предварительного согласия абонента запрещена</w:t>
      </w:r>
      <w:r>
        <w:rPr>
          <w:sz w:val="28"/>
          <w:szCs w:val="28"/>
        </w:rPr>
        <w:t xml:space="preserve"> (часть 1 статьи 18 ФЗ «О рекламе»).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обязан прекратить направление рекламы в адрес лица, которое обратилось с такими требованиями. </w:t>
      </w:r>
    </w:p>
    <w:p w:rsidR="00C3694D" w:rsidRDefault="00C3694D" w:rsidP="00C3694D">
      <w:pPr>
        <w:pStyle w:val="af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ранее наиболее популярным вариантом нарушения данной нормы были спам-рассылки рекламы посредством СМС (более 300 обращений с 2012 года), то на сегодняшний день этот способ распространения рекламы стал менее актуальным. Недобросовестные рекламодатели все чаще пользуются услугами специальных компаний для </w:t>
      </w:r>
      <w:proofErr w:type="spellStart"/>
      <w:r>
        <w:rPr>
          <w:sz w:val="28"/>
          <w:szCs w:val="28"/>
        </w:rPr>
        <w:t>обзвона</w:t>
      </w:r>
      <w:proofErr w:type="spellEnd"/>
      <w:r>
        <w:rPr>
          <w:sz w:val="28"/>
          <w:szCs w:val="28"/>
        </w:rPr>
        <w:t xml:space="preserve"> абонентов сотовой связи. 25 таких заявлений рассмотрело управление в 2019 году.</w:t>
      </w:r>
    </w:p>
    <w:p w:rsidR="00C3694D" w:rsidRDefault="00C3694D" w:rsidP="00C36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случае с СМС, существует </w:t>
      </w:r>
      <w:r w:rsidRPr="005B67EC"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rFonts w:ascii="Times New Roman" w:hAnsi="Times New Roman" w:cs="Times New Roman"/>
          <w:sz w:val="28"/>
          <w:szCs w:val="28"/>
        </w:rPr>
        <w:t>способов прекратить</w:t>
      </w:r>
      <w:r w:rsidRPr="005B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телефонный спам: официальное обращение к той компании, которая себя рекламирует, использование возможностей избирательной блокировки телефона, привлечение ресурсов сотового оператора. </w:t>
      </w:r>
    </w:p>
    <w:p w:rsidR="00C3694D" w:rsidRDefault="00C3694D" w:rsidP="00C369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73539A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39A">
        <w:rPr>
          <w:rFonts w:ascii="Times New Roman" w:hAnsi="Times New Roman" w:cs="Times New Roman"/>
          <w:sz w:val="28"/>
          <w:szCs w:val="28"/>
        </w:rPr>
        <w:t>в управление антимонопольной службы в регионе</w:t>
      </w:r>
      <w:r>
        <w:rPr>
          <w:rFonts w:ascii="Times New Roman" w:hAnsi="Times New Roman" w:cs="Times New Roman"/>
          <w:sz w:val="28"/>
          <w:szCs w:val="28"/>
        </w:rPr>
        <w:t xml:space="preserve"> (Кемеровское УФАС России)</w:t>
      </w:r>
      <w:r w:rsidRPr="0073539A">
        <w:rPr>
          <w:rFonts w:ascii="Times New Roman" w:hAnsi="Times New Roman" w:cs="Times New Roman"/>
          <w:sz w:val="28"/>
          <w:szCs w:val="28"/>
        </w:rPr>
        <w:t>. Для составления заявления нужно</w:t>
      </w:r>
      <w:r w:rsidRPr="0073539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707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написать на адрес: г. Кемерово, ул. </w:t>
      </w:r>
      <w:proofErr w:type="spellStart"/>
      <w:r w:rsidRPr="00B707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Ноградская</w:t>
      </w:r>
      <w:proofErr w:type="spellEnd"/>
      <w:r w:rsidRPr="00B707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5</w:t>
      </w:r>
      <w:r w:rsidRPr="005B67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707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(или в электронной форме на </w:t>
      </w:r>
      <w:proofErr w:type="spellStart"/>
      <w:r w:rsidRPr="00B707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kemerovo</w:t>
      </w:r>
      <w:proofErr w:type="spellEnd"/>
      <w:r w:rsidRPr="00B707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B707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fas</w:t>
      </w:r>
      <w:proofErr w:type="spellEnd"/>
      <w:r w:rsidRPr="00B707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B707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Pr="00B707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B707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B707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), указав</w:t>
      </w:r>
      <w:r w:rsidRPr="005B67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3539A">
        <w:rPr>
          <w:rFonts w:ascii="Times New Roman" w:hAnsi="Times New Roman" w:cs="Times New Roman"/>
          <w:sz w:val="28"/>
          <w:szCs w:val="28"/>
        </w:rPr>
        <w:t>Ф.И.О., адрес, номер телефона и дату поступления сообщения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94D" w:rsidRPr="00C3694D" w:rsidRDefault="00C3694D" w:rsidP="00C369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94D">
        <w:rPr>
          <w:rFonts w:ascii="Times New Roman" w:hAnsi="Times New Roman" w:cs="Times New Roman"/>
          <w:sz w:val="28"/>
          <w:szCs w:val="28"/>
        </w:rPr>
        <w:t xml:space="preserve">В случае спам-звонка </w:t>
      </w:r>
      <w:r w:rsidRPr="00C3694D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Pr="00C3694D">
        <w:rPr>
          <w:rFonts w:ascii="Times New Roman" w:hAnsi="Times New Roman" w:cs="Times New Roman"/>
          <w:sz w:val="28"/>
          <w:szCs w:val="28"/>
        </w:rPr>
        <w:t xml:space="preserve"> прикладывайте запись разговора (</w:t>
      </w:r>
      <w:proofErr w:type="spellStart"/>
      <w:r w:rsidRPr="00C3694D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C3694D">
        <w:rPr>
          <w:rFonts w:ascii="Times New Roman" w:hAnsi="Times New Roman" w:cs="Times New Roman"/>
          <w:sz w:val="28"/>
          <w:szCs w:val="28"/>
        </w:rPr>
        <w:t xml:space="preserve"> экрана при СМС-рассылке), а также согласие на обработку персональных данных.</w:t>
      </w:r>
    </w:p>
    <w:p w:rsidR="00C3694D" w:rsidRDefault="00C3694D" w:rsidP="00C369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94D" w:rsidRDefault="00C3694D" w:rsidP="00C369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с медицинскими масками</w:t>
      </w:r>
    </w:p>
    <w:p w:rsidR="00C3694D" w:rsidRDefault="00C3694D" w:rsidP="00C36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Антимонопольные органы продолжают отслеживать ситуацию с ценами на медицинские маски во всех регионах страны. </w:t>
      </w:r>
    </w:p>
    <w:p w:rsidR="00C3694D" w:rsidRDefault="00C3694D" w:rsidP="00C36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16 марта 2020 года практически все аптеки отчитались Кемеровскому УФАС России о дефиците медицинских масок. Эта ситуация, характерная для многих регионов России, связана с отсутствием масок у поставщиков.  </w:t>
      </w:r>
    </w:p>
    <w:p w:rsidR="00C3694D" w:rsidRPr="003A2265" w:rsidRDefault="00C3694D" w:rsidP="00C36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специалисты управления выясняют информацию о наличии/отсутствии масок у поставщиков и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аптечные учреждения региона.</w:t>
      </w:r>
    </w:p>
    <w:p w:rsidR="00C3694D" w:rsidRDefault="00C3694D" w:rsidP="00C36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крупных торговых сетей товар еще есть в продаже («Лента», «Магнит»,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Новэкс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C3694D" w:rsidRDefault="00C3694D" w:rsidP="00C36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стоимость продукции достигает 19,5 рублей за штуку.</w:t>
      </w:r>
    </w:p>
    <w:p w:rsidR="00C3694D" w:rsidRDefault="00C3694D" w:rsidP="00C36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производства масок ФАС России рекомендует обращаться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694D" w:rsidRDefault="00C3694D" w:rsidP="00C36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C3694D" w:rsidRDefault="00C3694D" w:rsidP="00C36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4D75" w:rsidRDefault="009C4D75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F24" w:rsidRDefault="007A2F24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F24" w:rsidRDefault="007A2F24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F24" w:rsidRDefault="007A2F24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F24" w:rsidRDefault="007A2F24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F24" w:rsidRDefault="007A2F24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F24" w:rsidRDefault="007A2F24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F24" w:rsidRDefault="007A2F24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F24" w:rsidRDefault="007A2F24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F24" w:rsidRDefault="007A2F24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F24" w:rsidRDefault="007A2F24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F24" w:rsidRDefault="007A2F24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F24" w:rsidRDefault="007A2F24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F24" w:rsidRDefault="007A2F24" w:rsidP="009B4C98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2F24" w:rsidSect="009B4C98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2D5"/>
    <w:multiLevelType w:val="hybridMultilevel"/>
    <w:tmpl w:val="0FBCDFD8"/>
    <w:lvl w:ilvl="0" w:tplc="FA96D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2E5A32"/>
    <w:multiLevelType w:val="multilevel"/>
    <w:tmpl w:val="AB1283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A5B7D8D"/>
    <w:multiLevelType w:val="hybridMultilevel"/>
    <w:tmpl w:val="555895B8"/>
    <w:lvl w:ilvl="0" w:tplc="953A45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43C85"/>
    <w:multiLevelType w:val="multilevel"/>
    <w:tmpl w:val="E154F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" w15:restartNumberingAfterBreak="0">
    <w:nsid w:val="1F9F5B38"/>
    <w:multiLevelType w:val="hybridMultilevel"/>
    <w:tmpl w:val="34F6155C"/>
    <w:lvl w:ilvl="0" w:tplc="C89A6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541E3"/>
    <w:multiLevelType w:val="hybridMultilevel"/>
    <w:tmpl w:val="7DCA21C6"/>
    <w:lvl w:ilvl="0" w:tplc="C066B85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C5F16"/>
    <w:multiLevelType w:val="hybridMultilevel"/>
    <w:tmpl w:val="E4065A7C"/>
    <w:lvl w:ilvl="0" w:tplc="EF983D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66344"/>
    <w:multiLevelType w:val="hybridMultilevel"/>
    <w:tmpl w:val="84368178"/>
    <w:lvl w:ilvl="0" w:tplc="49245D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35A1F0B"/>
    <w:multiLevelType w:val="multilevel"/>
    <w:tmpl w:val="39446C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D76742"/>
    <w:multiLevelType w:val="multilevel"/>
    <w:tmpl w:val="2B141D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31C2AE8"/>
    <w:multiLevelType w:val="hybridMultilevel"/>
    <w:tmpl w:val="38CC4952"/>
    <w:lvl w:ilvl="0" w:tplc="E26A9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894ECF"/>
    <w:multiLevelType w:val="multilevel"/>
    <w:tmpl w:val="6798BE6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F2073B9"/>
    <w:multiLevelType w:val="hybridMultilevel"/>
    <w:tmpl w:val="40A2D8E0"/>
    <w:lvl w:ilvl="0" w:tplc="89A400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22E22EC"/>
    <w:multiLevelType w:val="hybridMultilevel"/>
    <w:tmpl w:val="864CA5F2"/>
    <w:lvl w:ilvl="0" w:tplc="2B5E00A2">
      <w:start w:val="1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67111D5"/>
    <w:multiLevelType w:val="hybridMultilevel"/>
    <w:tmpl w:val="A07AF266"/>
    <w:lvl w:ilvl="0" w:tplc="733683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E9"/>
    <w:rsid w:val="000134F5"/>
    <w:rsid w:val="00020D6D"/>
    <w:rsid w:val="00045A3B"/>
    <w:rsid w:val="00051585"/>
    <w:rsid w:val="00051AEE"/>
    <w:rsid w:val="0008587A"/>
    <w:rsid w:val="00113F96"/>
    <w:rsid w:val="001209E2"/>
    <w:rsid w:val="00127000"/>
    <w:rsid w:val="0014383F"/>
    <w:rsid w:val="001600CE"/>
    <w:rsid w:val="00172405"/>
    <w:rsid w:val="001835AA"/>
    <w:rsid w:val="001904F1"/>
    <w:rsid w:val="00190C57"/>
    <w:rsid w:val="001966C5"/>
    <w:rsid w:val="001E0D12"/>
    <w:rsid w:val="001E5638"/>
    <w:rsid w:val="002423E9"/>
    <w:rsid w:val="002460FB"/>
    <w:rsid w:val="00263FAC"/>
    <w:rsid w:val="002B257A"/>
    <w:rsid w:val="00340E8F"/>
    <w:rsid w:val="00342EA7"/>
    <w:rsid w:val="003544E3"/>
    <w:rsid w:val="003A3EA5"/>
    <w:rsid w:val="003C7D59"/>
    <w:rsid w:val="003D3F49"/>
    <w:rsid w:val="0041184E"/>
    <w:rsid w:val="00424ECB"/>
    <w:rsid w:val="004255A9"/>
    <w:rsid w:val="004B251D"/>
    <w:rsid w:val="004D03AE"/>
    <w:rsid w:val="004E6663"/>
    <w:rsid w:val="00515A6D"/>
    <w:rsid w:val="005B381F"/>
    <w:rsid w:val="005C3AF8"/>
    <w:rsid w:val="005C7D08"/>
    <w:rsid w:val="00605A49"/>
    <w:rsid w:val="00611D52"/>
    <w:rsid w:val="0064736D"/>
    <w:rsid w:val="0067011B"/>
    <w:rsid w:val="0067761C"/>
    <w:rsid w:val="0069679A"/>
    <w:rsid w:val="006A666A"/>
    <w:rsid w:val="006C2EA8"/>
    <w:rsid w:val="006C4527"/>
    <w:rsid w:val="00701675"/>
    <w:rsid w:val="007554CC"/>
    <w:rsid w:val="007724C9"/>
    <w:rsid w:val="007A2F24"/>
    <w:rsid w:val="007B76CC"/>
    <w:rsid w:val="007C1211"/>
    <w:rsid w:val="007C21CB"/>
    <w:rsid w:val="007D3299"/>
    <w:rsid w:val="00821D5E"/>
    <w:rsid w:val="0087364C"/>
    <w:rsid w:val="008B5620"/>
    <w:rsid w:val="008C55BE"/>
    <w:rsid w:val="008D7DCF"/>
    <w:rsid w:val="008E6111"/>
    <w:rsid w:val="009414E1"/>
    <w:rsid w:val="00982ADB"/>
    <w:rsid w:val="009B3A06"/>
    <w:rsid w:val="009B4C98"/>
    <w:rsid w:val="009C4D75"/>
    <w:rsid w:val="009C7035"/>
    <w:rsid w:val="009D0846"/>
    <w:rsid w:val="009F23C9"/>
    <w:rsid w:val="00A61698"/>
    <w:rsid w:val="00A6177D"/>
    <w:rsid w:val="00AA7592"/>
    <w:rsid w:val="00AC5C82"/>
    <w:rsid w:val="00B014C3"/>
    <w:rsid w:val="00B100C1"/>
    <w:rsid w:val="00B22FB1"/>
    <w:rsid w:val="00B3372F"/>
    <w:rsid w:val="00B44677"/>
    <w:rsid w:val="00B65EB9"/>
    <w:rsid w:val="00B80CB0"/>
    <w:rsid w:val="00C3694D"/>
    <w:rsid w:val="00C36B84"/>
    <w:rsid w:val="00C92448"/>
    <w:rsid w:val="00CA1279"/>
    <w:rsid w:val="00CC561F"/>
    <w:rsid w:val="00D24791"/>
    <w:rsid w:val="00D37703"/>
    <w:rsid w:val="00D428CE"/>
    <w:rsid w:val="00D464E8"/>
    <w:rsid w:val="00D50BBC"/>
    <w:rsid w:val="00D555CF"/>
    <w:rsid w:val="00D75F5D"/>
    <w:rsid w:val="00D80D85"/>
    <w:rsid w:val="00DB1AB7"/>
    <w:rsid w:val="00DC546B"/>
    <w:rsid w:val="00DD629F"/>
    <w:rsid w:val="00DE3592"/>
    <w:rsid w:val="00E62810"/>
    <w:rsid w:val="00E754AA"/>
    <w:rsid w:val="00EC354C"/>
    <w:rsid w:val="00ED06DF"/>
    <w:rsid w:val="00EE596D"/>
    <w:rsid w:val="00F42357"/>
    <w:rsid w:val="00F52B87"/>
    <w:rsid w:val="00F9672D"/>
    <w:rsid w:val="00FD3E7C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0D680-EE74-4ACA-8E42-6506A3E4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E9"/>
  </w:style>
  <w:style w:type="paragraph" w:styleId="1">
    <w:name w:val="heading 1"/>
    <w:basedOn w:val="a"/>
    <w:next w:val="a"/>
    <w:link w:val="10"/>
    <w:uiPriority w:val="9"/>
    <w:qFormat/>
    <w:rsid w:val="002423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23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List 3"/>
    <w:basedOn w:val="a"/>
    <w:rsid w:val="002423E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423E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42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uiPriority w:val="99"/>
    <w:unhideWhenUsed/>
    <w:rsid w:val="002423E9"/>
    <w:pPr>
      <w:ind w:left="566" w:hanging="283"/>
      <w:contextualSpacing/>
    </w:pPr>
  </w:style>
  <w:style w:type="paragraph" w:customStyle="1" w:styleId="ConsPlusNormal">
    <w:name w:val="ConsPlusNormal"/>
    <w:rsid w:val="002423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2423E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11">
    <w:name w:val="Основной шрифт абзаца1"/>
    <w:rsid w:val="002423E9"/>
  </w:style>
  <w:style w:type="paragraph" w:styleId="32">
    <w:name w:val="Body Text Indent 3"/>
    <w:basedOn w:val="a"/>
    <w:link w:val="33"/>
    <w:rsid w:val="002423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42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42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2423E9"/>
    <w:rPr>
      <w:color w:val="0000FF"/>
      <w:u w:val="single"/>
    </w:rPr>
  </w:style>
  <w:style w:type="paragraph" w:styleId="a6">
    <w:name w:val="No Spacing"/>
    <w:uiPriority w:val="1"/>
    <w:qFormat/>
    <w:rsid w:val="002423E9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rsid w:val="002423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2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423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423E9"/>
  </w:style>
  <w:style w:type="paragraph" w:styleId="a9">
    <w:name w:val="Title"/>
    <w:basedOn w:val="a"/>
    <w:link w:val="aa"/>
    <w:qFormat/>
    <w:rsid w:val="002423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2423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b">
    <w:name w:val="Table Grid"/>
    <w:basedOn w:val="a1"/>
    <w:uiPriority w:val="59"/>
    <w:rsid w:val="0024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23E9"/>
    <w:pPr>
      <w:ind w:left="720"/>
      <w:contextualSpacing/>
    </w:pPr>
  </w:style>
  <w:style w:type="paragraph" w:customStyle="1" w:styleId="ConsNonformat">
    <w:name w:val="ConsNonformat"/>
    <w:rsid w:val="002423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2423E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unhideWhenUsed/>
    <w:rsid w:val="0024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23E9"/>
  </w:style>
  <w:style w:type="paragraph" w:styleId="af">
    <w:name w:val="footer"/>
    <w:basedOn w:val="a"/>
    <w:link w:val="af0"/>
    <w:uiPriority w:val="99"/>
    <w:unhideWhenUsed/>
    <w:rsid w:val="0024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423E9"/>
  </w:style>
  <w:style w:type="paragraph" w:styleId="af1">
    <w:name w:val="Normal (Web)"/>
    <w:basedOn w:val="a"/>
    <w:uiPriority w:val="99"/>
    <w:rsid w:val="004118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1904F1"/>
    <w:rPr>
      <w:b/>
      <w:bCs/>
    </w:rPr>
  </w:style>
  <w:style w:type="character" w:styleId="af3">
    <w:name w:val="Emphasis"/>
    <w:basedOn w:val="a0"/>
    <w:uiPriority w:val="20"/>
    <w:qFormat/>
    <w:rsid w:val="001904F1"/>
    <w:rPr>
      <w:i/>
      <w:iCs/>
    </w:rPr>
  </w:style>
  <w:style w:type="character" w:styleId="af4">
    <w:name w:val="page number"/>
    <w:rsid w:val="00AC5C82"/>
  </w:style>
  <w:style w:type="character" w:customStyle="1" w:styleId="af5">
    <w:name w:val="Основной текст + Полужирный"/>
    <w:basedOn w:val="a0"/>
    <w:rsid w:val="004B251D"/>
    <w:rPr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0"/>
    <w:rsid w:val="004B251D"/>
    <w:rPr>
      <w:b/>
      <w:bCs/>
      <w:i w:val="0"/>
      <w:iCs w:val="0"/>
      <w:smallCaps w:val="0"/>
      <w:strike w:val="0"/>
      <w:spacing w:val="-10"/>
      <w:sz w:val="27"/>
      <w:szCs w:val="27"/>
      <w:shd w:val="clear" w:color="auto" w:fill="FFFFFF"/>
    </w:rPr>
  </w:style>
  <w:style w:type="paragraph" w:customStyle="1" w:styleId="12">
    <w:name w:val="Обычный1"/>
    <w:uiPriority w:val="99"/>
    <w:rsid w:val="004B25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24">
    <w:name w:val="Основной текст2"/>
    <w:basedOn w:val="a0"/>
    <w:rsid w:val="0008587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B3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3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689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15207">
                                      <w:blockQuote w:val="1"/>
                                      <w:marLeft w:val="543"/>
                                      <w:marRight w:val="543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0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037">
          <w:blockQuote w:val="1"/>
          <w:marLeft w:val="543"/>
          <w:marRight w:val="5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Дрешер</dc:creator>
  <cp:lastModifiedBy>Дрешер Анна Константиновна</cp:lastModifiedBy>
  <cp:revision>4</cp:revision>
  <cp:lastPrinted>2020-02-28T07:39:00Z</cp:lastPrinted>
  <dcterms:created xsi:type="dcterms:W3CDTF">2020-03-18T08:13:00Z</dcterms:created>
  <dcterms:modified xsi:type="dcterms:W3CDTF">2020-03-20T04:58:00Z</dcterms:modified>
</cp:coreProperties>
</file>