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82" w:rsidRPr="00210449" w:rsidRDefault="00210449" w:rsidP="001C62A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44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210449">
        <w:rPr>
          <w:rFonts w:ascii="Times New Roman" w:hAnsi="Times New Roman" w:cs="Times New Roman"/>
          <w:b/>
          <w:sz w:val="28"/>
          <w:szCs w:val="28"/>
        </w:rPr>
        <w:t>Кемеровское УФАС России подводит итоги 2021 года. Деятельность управления по соблюдению антимонопольного законодательства на сегодняшний день</w:t>
      </w:r>
      <w:r w:rsidRPr="0021044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36C80" w:rsidRDefault="00AF6882" w:rsidP="001C62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4CE">
        <w:rPr>
          <w:rFonts w:ascii="Times New Roman" w:hAnsi="Times New Roman" w:cs="Times New Roman"/>
          <w:sz w:val="28"/>
          <w:szCs w:val="28"/>
        </w:rPr>
        <w:t xml:space="preserve">Традиционно, мы хотели бы рассказать о результатах деятельности управления с содержательной стороны, так как статистику по делам, обращениям и штрафам по всем направлениям деятельности Кемеровского УФАС России вы можете увидеть в таблице (в Приложении). </w:t>
      </w:r>
    </w:p>
    <w:p w:rsidR="0024603F" w:rsidRDefault="00C64405" w:rsidP="001C62AE">
      <w:pPr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заявлений, поступивших в Кемеровское УФАС России, большую часть составили заявления по статье 10 Закона о защите конкуренции (установление, поддержание монопольно высокой цены товара).</w:t>
      </w: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4BDB" w:rsidRPr="002F57A8" w:rsidRDefault="00E36C80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36C80">
        <w:rPr>
          <w:sz w:val="28"/>
          <w:szCs w:val="28"/>
        </w:rPr>
        <w:t>В 2021 в адрес Кемеровского УФАС России поступило </w:t>
      </w:r>
      <w:r w:rsidRPr="00E36C80">
        <w:rPr>
          <w:b/>
          <w:bCs/>
          <w:sz w:val="28"/>
          <w:szCs w:val="28"/>
          <w:bdr w:val="none" w:sz="0" w:space="0" w:color="auto" w:frame="1"/>
        </w:rPr>
        <w:t>344</w:t>
      </w:r>
      <w:r w:rsidRPr="00E36C80">
        <w:rPr>
          <w:sz w:val="28"/>
          <w:szCs w:val="28"/>
        </w:rPr>
        <w:t> </w:t>
      </w:r>
      <w:r w:rsidRPr="00E36C80">
        <w:rPr>
          <w:b/>
          <w:bCs/>
          <w:sz w:val="28"/>
          <w:szCs w:val="28"/>
          <w:bdr w:val="none" w:sz="0" w:space="0" w:color="auto" w:frame="1"/>
        </w:rPr>
        <w:t>заявления</w:t>
      </w:r>
      <w:r w:rsidRPr="00E36C80">
        <w:rPr>
          <w:sz w:val="28"/>
          <w:szCs w:val="28"/>
        </w:rPr>
        <w:t>, указывающих на нарушения требований Закона о рекламе (</w:t>
      </w:r>
      <w:r w:rsidRPr="00E36C80">
        <w:rPr>
          <w:i/>
          <w:iCs/>
          <w:sz w:val="28"/>
          <w:szCs w:val="28"/>
          <w:bdr w:val="none" w:sz="0" w:space="0" w:color="auto" w:frame="1"/>
        </w:rPr>
        <w:t>в 2020 – 209; в 2019 году – 267 заявлений</w:t>
      </w:r>
      <w:r w:rsidRPr="00E36C80">
        <w:rPr>
          <w:sz w:val="28"/>
          <w:szCs w:val="28"/>
        </w:rPr>
        <w:t>). Увеличилось количество обращений на незаконную рекламу финансовых услуг (часть 13, часть 14 статьи 28 Закона о рекламе)</w:t>
      </w:r>
      <w:r w:rsidR="00764BDB">
        <w:rPr>
          <w:sz w:val="28"/>
          <w:szCs w:val="28"/>
        </w:rPr>
        <w:t xml:space="preserve">.    </w:t>
      </w:r>
      <w:r w:rsidR="00764BDB" w:rsidRPr="002F57A8">
        <w:rPr>
          <w:color w:val="000000"/>
          <w:sz w:val="28"/>
          <w:szCs w:val="28"/>
        </w:rPr>
        <w:t>11 октября Кемеровское УФАС России привлекло к административной ответственности сеть комиссионных магазинов КТЛ (ООО «КТЛ»). Ранее комиссия антимонопольного органа признала рекламу общества незаконной. Штраф в размере 100 тысяч рублей стал итогом в рас</w:t>
      </w:r>
      <w:r w:rsidR="002B0B7C">
        <w:rPr>
          <w:color w:val="000000"/>
          <w:sz w:val="28"/>
          <w:szCs w:val="28"/>
        </w:rPr>
        <w:t>смотрении дела (ст.14.3 КоАП РФ</w:t>
      </w:r>
      <w:r w:rsidR="00764BDB" w:rsidRPr="002F57A8">
        <w:rPr>
          <w:color w:val="000000"/>
          <w:sz w:val="28"/>
          <w:szCs w:val="28"/>
        </w:rPr>
        <w:t>).</w:t>
      </w:r>
    </w:p>
    <w:p w:rsidR="00764BDB" w:rsidRPr="002F57A8" w:rsidRDefault="00764BDB" w:rsidP="001C62AE">
      <w:pPr>
        <w:pStyle w:val="a3"/>
        <w:shd w:val="clear" w:color="auto" w:fill="FFFFFF"/>
        <w:spacing w:before="0" w:beforeAutospacing="0" w:after="75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57A8">
        <w:rPr>
          <w:color w:val="000000"/>
          <w:sz w:val="28"/>
          <w:szCs w:val="28"/>
        </w:rPr>
        <w:t>Компания называла себя «ломбардом» и предлагала услуги потребительского займа под залог на баннерах в городе Ленинск-Кузнецкий. Поскольку оказывать финансовые услуги КТЛ не имело права, то сведения в рекламе не соответствовали действительности.</w:t>
      </w:r>
    </w:p>
    <w:p w:rsidR="00764BDB" w:rsidRPr="002F57A8" w:rsidRDefault="00764BDB" w:rsidP="001C62AE">
      <w:pPr>
        <w:pStyle w:val="a3"/>
        <w:shd w:val="clear" w:color="auto" w:fill="FFFFFF"/>
        <w:spacing w:before="0" w:beforeAutospacing="0" w:after="75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57A8">
        <w:rPr>
          <w:color w:val="000000"/>
          <w:sz w:val="28"/>
          <w:szCs w:val="28"/>
        </w:rPr>
        <w:t>Получение статуса «ломбард» возможно только после внесения в специальный реестр Банка России для этого вида деятельности (требование Закона о ломбардах). </w:t>
      </w:r>
    </w:p>
    <w:p w:rsidR="00764BDB" w:rsidRPr="005D55DB" w:rsidRDefault="00764BDB" w:rsidP="001C62AE">
      <w:pPr>
        <w:pStyle w:val="a3"/>
        <w:shd w:val="clear" w:color="auto" w:fill="FFFFFF"/>
        <w:spacing w:before="0" w:beforeAutospacing="0" w:after="75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57A8">
        <w:rPr>
          <w:color w:val="000000"/>
          <w:sz w:val="28"/>
          <w:szCs w:val="28"/>
        </w:rPr>
        <w:t xml:space="preserve">С 2020 года компания находилась под пристальным вниманием антимонопольных и правоохранительных органов. За это время организация не зарегистрировала ломбардную деятельность, однако продолжала </w:t>
      </w:r>
      <w:r w:rsidRPr="002F57A8">
        <w:rPr>
          <w:color w:val="000000"/>
          <w:sz w:val="28"/>
          <w:szCs w:val="28"/>
        </w:rPr>
        <w:lastRenderedPageBreak/>
        <w:t xml:space="preserve">позиционировать </w:t>
      </w:r>
      <w:r>
        <w:rPr>
          <w:color w:val="000000"/>
          <w:sz w:val="28"/>
          <w:szCs w:val="28"/>
        </w:rPr>
        <w:t>себя в этом качестве в рекламе. Мы подсчитали, что за 2 года данная компания попадала в поле зрения управления более 10 раз, в том числе после получения наших предписаний и предупреждений.</w:t>
      </w:r>
    </w:p>
    <w:p w:rsidR="00E36C80" w:rsidRPr="00764BDB" w:rsidRDefault="00E36C80" w:rsidP="001C62AE">
      <w:pPr>
        <w:pStyle w:val="a3"/>
        <w:shd w:val="clear" w:color="auto" w:fill="FFFFFF"/>
        <w:spacing w:before="0" w:beforeAutospacing="0" w:after="75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E36C80">
        <w:rPr>
          <w:sz w:val="28"/>
          <w:szCs w:val="28"/>
        </w:rPr>
        <w:t>Наиболее часто встречающиеся нарушения законодательства о рекламе приходятся на недобросовестную, недостоверную рекламу, в том числе рекламу с отсутствием существенной информации (статья 5 Закона о рекламе), а также на рекламу, нанесенную на окна в транспорте, подвергающую угрозе безопасность дорожного движения (часть 5 статьи 20 Закона о рекламе).</w:t>
      </w:r>
    </w:p>
    <w:p w:rsidR="00E36C80" w:rsidRPr="00E36C80" w:rsidRDefault="00E36C80" w:rsidP="001C62AE">
      <w:pPr>
        <w:shd w:val="clear" w:color="auto" w:fill="FFFFFF"/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октября Кемеровское УФАС России привлекло к административной ответственности АО «Кемеровская транспортная компания» (АО «КТК») за нарушение Закона о рекламе.</w:t>
      </w:r>
    </w:p>
    <w:p w:rsidR="00E36C80" w:rsidRPr="00E36C80" w:rsidRDefault="004E23CD" w:rsidP="001C62A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C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1C62AE" w:rsidRPr="001C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</w:t>
      </w:r>
      <w:r w:rsidR="00E36C80" w:rsidRPr="00E3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признало размещение рекламы на задних стеклах кемеровских автобусов (марок НЕФАЗ и МАЗ) маршрутов 161у и 27А незаконным и нарушающим законодательство. Эти решения антимонопольного органа легли в основу административных дел, которые управление обязано возбуждать для привлечения нарушителя к ответственности. АО «КТК» оштрафовано согласно КоАП РФ на минимальную сумму штрафа (200 тысяч рублей для юридического лица) за каждое нарушение. </w:t>
      </w:r>
      <w:r w:rsidR="00E36C80" w:rsidRPr="00E36C8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Штраф по двум делам составил 400 тысяч рублей.</w:t>
      </w:r>
    </w:p>
    <w:p w:rsidR="001C62AE" w:rsidRDefault="00CA0119" w:rsidP="001C62AE">
      <w:pPr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в условиях распространения </w:t>
      </w:r>
      <w:proofErr w:type="spellStart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COVID19 большинство дел и жалоб были рассмотрены в режиме онлайн-конференции при помощи видеосвязи</w:t>
      </w:r>
      <w:r w:rsidRPr="00F574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прошлом году</w:t>
      </w: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многими участниками, учитывая удаленность территорий в области, такой подход был положительно оценен.</w:t>
      </w:r>
      <w:r w:rsidR="0071071C" w:rsidRPr="00F5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и говорили в прошлом году, такая форма взаимодействия крепко закрепилась в антимонопольном органе. </w:t>
      </w:r>
    </w:p>
    <w:p w:rsidR="001C62AE" w:rsidRDefault="001C62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634D" w:rsidRPr="006D634D" w:rsidRDefault="006D634D" w:rsidP="001C62AE">
      <w:pPr>
        <w:spacing w:after="75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34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Работа Кемеровского УФАС России в рамках мониторинга цен на социально значимые товары.</w:t>
      </w:r>
    </w:p>
    <w:p w:rsidR="00935C74" w:rsidRPr="00F574CE" w:rsidRDefault="0071071C" w:rsidP="001C62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период, исполняя Поручение ФАС России, управление продолжало контроль за ценами на социально значимые продукты питания в режиме еженедельного сбора информации в региональных и федеральных торговых сетях. В ходе проведения данных мероприятий нарушений не выявлено.</w:t>
      </w:r>
      <w:r w:rsidRPr="00F5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2AE">
        <w:rPr>
          <w:rFonts w:ascii="Times New Roman" w:hAnsi="Times New Roman" w:cs="Times New Roman"/>
          <w:sz w:val="28"/>
          <w:szCs w:val="28"/>
        </w:rPr>
        <w:t>В настоящее время к</w:t>
      </w:r>
      <w:r w:rsidRPr="00F574CE">
        <w:rPr>
          <w:rFonts w:ascii="Times New Roman" w:hAnsi="Times New Roman" w:cs="Times New Roman"/>
          <w:sz w:val="28"/>
          <w:szCs w:val="28"/>
        </w:rPr>
        <w:t>рупные торговые сети «Магнит» и</w:t>
      </w:r>
      <w:r w:rsidR="00935C74" w:rsidRPr="00F574CE">
        <w:rPr>
          <w:rFonts w:ascii="Times New Roman" w:hAnsi="Times New Roman" w:cs="Times New Roman"/>
          <w:sz w:val="28"/>
          <w:szCs w:val="28"/>
        </w:rPr>
        <w:t xml:space="preserve"> «Пятерочка»</w:t>
      </w:r>
      <w:r w:rsidR="00546057" w:rsidRPr="00F574CE">
        <w:rPr>
          <w:rFonts w:ascii="Times New Roman" w:hAnsi="Times New Roman" w:cs="Times New Roman"/>
          <w:sz w:val="28"/>
          <w:szCs w:val="28"/>
        </w:rPr>
        <w:t xml:space="preserve"> присоединились к</w:t>
      </w:r>
      <w:r w:rsidR="00935C74" w:rsidRPr="00F574CE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546057" w:rsidRPr="00F574CE">
        <w:rPr>
          <w:rFonts w:ascii="Times New Roman" w:hAnsi="Times New Roman" w:cs="Times New Roman"/>
          <w:sz w:val="28"/>
          <w:szCs w:val="28"/>
        </w:rPr>
        <w:t>у</w:t>
      </w:r>
      <w:r w:rsidR="00935C74" w:rsidRPr="00F574CE">
        <w:rPr>
          <w:rFonts w:ascii="Times New Roman" w:hAnsi="Times New Roman" w:cs="Times New Roman"/>
          <w:sz w:val="28"/>
          <w:szCs w:val="28"/>
        </w:rPr>
        <w:t xml:space="preserve"> </w:t>
      </w:r>
      <w:r w:rsidRPr="00F574CE">
        <w:rPr>
          <w:rFonts w:ascii="Times New Roman" w:hAnsi="Times New Roman" w:cs="Times New Roman"/>
          <w:sz w:val="28"/>
          <w:szCs w:val="28"/>
        </w:rPr>
        <w:t>ответственного ценообразования, направлен</w:t>
      </w:r>
      <w:r w:rsidR="00546057" w:rsidRPr="00F574CE">
        <w:rPr>
          <w:rFonts w:ascii="Times New Roman" w:hAnsi="Times New Roman" w:cs="Times New Roman"/>
          <w:sz w:val="28"/>
          <w:szCs w:val="28"/>
        </w:rPr>
        <w:t>ному</w:t>
      </w:r>
      <w:r w:rsidR="00935C74" w:rsidRPr="00F574CE">
        <w:rPr>
          <w:rFonts w:ascii="Times New Roman" w:hAnsi="Times New Roman" w:cs="Times New Roman"/>
          <w:sz w:val="28"/>
          <w:szCs w:val="28"/>
        </w:rPr>
        <w:t xml:space="preserve"> на добровольное ограничение </w:t>
      </w:r>
      <w:r w:rsidRPr="00F574CE">
        <w:rPr>
          <w:rFonts w:ascii="Times New Roman" w:hAnsi="Times New Roman" w:cs="Times New Roman"/>
          <w:sz w:val="28"/>
          <w:szCs w:val="28"/>
        </w:rPr>
        <w:t>размера наценок на социально знач</w:t>
      </w:r>
      <w:r w:rsidR="00935C74" w:rsidRPr="00F574CE">
        <w:rPr>
          <w:rFonts w:ascii="Times New Roman" w:hAnsi="Times New Roman" w:cs="Times New Roman"/>
          <w:sz w:val="28"/>
          <w:szCs w:val="28"/>
        </w:rPr>
        <w:t xml:space="preserve">имые продовольственные товары и </w:t>
      </w:r>
      <w:r w:rsidR="00546057" w:rsidRPr="00F574CE">
        <w:rPr>
          <w:rFonts w:ascii="Times New Roman" w:hAnsi="Times New Roman" w:cs="Times New Roman"/>
          <w:sz w:val="28"/>
          <w:szCs w:val="28"/>
        </w:rPr>
        <w:t>установили максимальную наценку</w:t>
      </w:r>
      <w:r w:rsidRPr="00F574CE">
        <w:rPr>
          <w:rFonts w:ascii="Times New Roman" w:hAnsi="Times New Roman" w:cs="Times New Roman"/>
          <w:sz w:val="28"/>
          <w:szCs w:val="28"/>
        </w:rPr>
        <w:t xml:space="preserve"> на товары</w:t>
      </w:r>
      <w:r w:rsidR="00935C74" w:rsidRPr="00F574CE">
        <w:rPr>
          <w:rFonts w:ascii="Times New Roman" w:hAnsi="Times New Roman" w:cs="Times New Roman"/>
          <w:sz w:val="28"/>
          <w:szCs w:val="28"/>
        </w:rPr>
        <w:t xml:space="preserve"> первой необходимости на уровне </w:t>
      </w:r>
      <w:r w:rsidRPr="00F574CE">
        <w:rPr>
          <w:rFonts w:ascii="Times New Roman" w:hAnsi="Times New Roman" w:cs="Times New Roman"/>
          <w:sz w:val="28"/>
          <w:szCs w:val="28"/>
        </w:rPr>
        <w:t>не более 10%.</w:t>
      </w:r>
      <w:r w:rsidR="00546057" w:rsidRPr="00F574CE">
        <w:rPr>
          <w:rFonts w:ascii="Times New Roman" w:hAnsi="Times New Roman" w:cs="Times New Roman"/>
          <w:sz w:val="28"/>
          <w:szCs w:val="28"/>
        </w:rPr>
        <w:t xml:space="preserve"> К ним присоединились</w:t>
      </w:r>
      <w:r w:rsidR="00F574CE" w:rsidRPr="00F574CE">
        <w:rPr>
          <w:rFonts w:ascii="Times New Roman" w:hAnsi="Times New Roman" w:cs="Times New Roman"/>
          <w:sz w:val="28"/>
          <w:szCs w:val="28"/>
        </w:rPr>
        <w:t xml:space="preserve"> и региональные</w:t>
      </w:r>
      <w:r w:rsidR="00F574CE" w:rsidRPr="00F574CE">
        <w:rPr>
          <w:rFonts w:ascii="Times New Roman" w:hAnsi="Times New Roman" w:cs="Times New Roman"/>
          <w:color w:val="000000"/>
          <w:sz w:val="28"/>
          <w:szCs w:val="28"/>
        </w:rPr>
        <w:t xml:space="preserve"> розничные торговые сети </w:t>
      </w:r>
      <w:r w:rsidR="00935C74" w:rsidRPr="00F574CE">
        <w:rPr>
          <w:rFonts w:ascii="Times New Roman" w:hAnsi="Times New Roman" w:cs="Times New Roman"/>
          <w:color w:val="000000"/>
          <w:sz w:val="28"/>
          <w:szCs w:val="28"/>
        </w:rPr>
        <w:t xml:space="preserve">(ООО «универсамы </w:t>
      </w:r>
      <w:proofErr w:type="spellStart"/>
      <w:r w:rsidR="00935C74" w:rsidRPr="00F574CE">
        <w:rPr>
          <w:rFonts w:ascii="Times New Roman" w:hAnsi="Times New Roman" w:cs="Times New Roman"/>
          <w:color w:val="000000"/>
          <w:sz w:val="28"/>
          <w:szCs w:val="28"/>
        </w:rPr>
        <w:t>Бегемаг</w:t>
      </w:r>
      <w:proofErr w:type="spellEnd"/>
      <w:r w:rsidR="00935C74" w:rsidRPr="00F574CE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6D634D" w:rsidRDefault="001C62AE" w:rsidP="001C62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Кемеровское УФАС России рассчитывает, что к данной инициативе присоединятся региональные и частные торговые сети.</w:t>
      </w:r>
    </w:p>
    <w:p w:rsidR="00C64405" w:rsidRDefault="005F19C5" w:rsidP="001C62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Кемеровское УФАС России усилило контроль за ценообразованием на рынках социально значимых продовольственных товаров, продолжает еженедельно проводить мониторинг уровня цен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вышеупомянутые товары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которых утвержден Постановлением Правительства №530 в торговых сетях г. Кемерово. В случае выявления признаков нарушения будут применены меры антимонопольного и прокурорского реагирования.</w:t>
      </w:r>
    </w:p>
    <w:p w:rsidR="00294B7F" w:rsidRDefault="00294B7F" w:rsidP="001C62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62AE" w:rsidRDefault="001C62AE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 w:type="page"/>
      </w:r>
    </w:p>
    <w:p w:rsidR="006D634D" w:rsidRDefault="006D634D" w:rsidP="001C62AE">
      <w:pPr>
        <w:shd w:val="clear" w:color="auto" w:fill="FFFFFF"/>
        <w:spacing w:after="0" w:line="360" w:lineRule="auto"/>
        <w:ind w:left="426" w:firstLine="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D6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Изменения, касающиеся Федерального закона №44 «О контрактной системе в сфере закупок товаров, работ, услуг для обеспечения государственных и муниципальных нужд».</w:t>
      </w:r>
    </w:p>
    <w:p w:rsidR="00C64405" w:rsidRPr="006D634D" w:rsidRDefault="00C64405" w:rsidP="001C62AE">
      <w:pPr>
        <w:shd w:val="clear" w:color="auto" w:fill="FFFFFF"/>
        <w:spacing w:after="0" w:line="360" w:lineRule="auto"/>
        <w:ind w:left="426" w:firstLine="567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64405" w:rsidRPr="00C64405" w:rsidRDefault="00C64405" w:rsidP="001C62AE">
      <w:pPr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 периоде рассмотрено 167 жалоб на нарушения процедуры торгов, рассмотренных в порядке статьи 18.1 Закона о защите конкуренции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треть</w:t>
      </w:r>
      <w:r w:rsidRPr="00C6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признаны обоснованными.</w:t>
      </w:r>
      <w:r w:rsidR="001C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2AE" w:rsidRPr="001C62A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(Статистика по №44-ФЗ указана в таблице).</w:t>
      </w:r>
    </w:p>
    <w:p w:rsidR="00546057" w:rsidRPr="00F574CE" w:rsidRDefault="00546057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outlineLvl w:val="1"/>
        <w:rPr>
          <w:rStyle w:val="a4"/>
          <w:b w:val="0"/>
          <w:kern w:val="36"/>
          <w:sz w:val="28"/>
          <w:szCs w:val="28"/>
        </w:rPr>
      </w:pPr>
      <w:r w:rsidRPr="006D634D">
        <w:rPr>
          <w:color w:val="000000"/>
          <w:sz w:val="28"/>
          <w:szCs w:val="28"/>
        </w:rPr>
        <w:t>Серьезным изменениям</w:t>
      </w:r>
      <w:r w:rsidRPr="00F574CE">
        <w:rPr>
          <w:color w:val="000000"/>
          <w:sz w:val="28"/>
          <w:szCs w:val="28"/>
        </w:rPr>
        <w:t xml:space="preserve"> подвергся Федеральный закон №44 «О контрактной системе в сфере закупок товаров, работ, услуг для обеспечения государственных и муниципальных нужд». </w:t>
      </w:r>
      <w:r w:rsidRPr="00F574CE">
        <w:rPr>
          <w:sz w:val="28"/>
          <w:szCs w:val="28"/>
          <w:shd w:val="clear" w:color="auto" w:fill="FFFFFF"/>
        </w:rPr>
        <w:t>С 01 января 2022 года вступили в силу новые положения Закона о контрактной системе в редакции ФЗ № 360-ФЗ от 02.07.2021 «О внесении изменений в отдельные законодател</w:t>
      </w:r>
      <w:r w:rsidR="00F574CE">
        <w:rPr>
          <w:sz w:val="28"/>
          <w:szCs w:val="28"/>
          <w:shd w:val="clear" w:color="auto" w:fill="FFFFFF"/>
        </w:rPr>
        <w:t xml:space="preserve">ьные акты Российской Федерации». </w:t>
      </w:r>
    </w:p>
    <w:p w:rsidR="00546057" w:rsidRPr="00F574CE" w:rsidRDefault="001C62AE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outlineLvl w:val="1"/>
        <w:rPr>
          <w:bCs/>
          <w:kern w:val="36"/>
          <w:sz w:val="28"/>
          <w:szCs w:val="28"/>
        </w:rPr>
      </w:pPr>
      <w:r>
        <w:rPr>
          <w:rStyle w:val="a4"/>
          <w:b w:val="0"/>
          <w:kern w:val="36"/>
          <w:sz w:val="28"/>
          <w:szCs w:val="28"/>
        </w:rPr>
        <w:t>С</w:t>
      </w:r>
      <w:r w:rsidR="00546057" w:rsidRPr="00F574CE">
        <w:rPr>
          <w:rStyle w:val="a4"/>
          <w:b w:val="0"/>
          <w:kern w:val="36"/>
          <w:sz w:val="28"/>
          <w:szCs w:val="28"/>
        </w:rPr>
        <w:t> 01 января 2022 года сократилось количество способов закупок и изменились их правила.</w:t>
      </w:r>
    </w:p>
    <w:p w:rsidR="00546057" w:rsidRPr="00F574CE" w:rsidRDefault="00546057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574CE">
        <w:rPr>
          <w:sz w:val="28"/>
          <w:szCs w:val="28"/>
        </w:rPr>
        <w:t>Из числа способов закупок </w:t>
      </w:r>
      <w:hyperlink r:id="rId5" w:anchor="dst100102" w:history="1">
        <w:r w:rsidRPr="00F574CE">
          <w:rPr>
            <w:rStyle w:val="a5"/>
            <w:color w:val="auto"/>
            <w:sz w:val="28"/>
            <w:szCs w:val="28"/>
            <w:u w:val="none"/>
          </w:rPr>
          <w:t>исключены</w:t>
        </w:r>
      </w:hyperlink>
      <w:r w:rsidRPr="00F574CE">
        <w:rPr>
          <w:sz w:val="28"/>
          <w:szCs w:val="28"/>
        </w:rPr>
        <w:t xml:space="preserve"> двухэтапные конкурсы, конкурсы с ограниченным участием, запросы предложений. </w:t>
      </w:r>
    </w:p>
    <w:p w:rsidR="00546057" w:rsidRPr="00F574CE" w:rsidRDefault="00546057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574CE">
        <w:rPr>
          <w:sz w:val="28"/>
          <w:szCs w:val="28"/>
        </w:rPr>
        <w:t>Кроме того, документация о закупке нужна только при закрытых процедурах. В остальных случаях достаточно извещения и проекта контракта.</w:t>
      </w:r>
    </w:p>
    <w:p w:rsidR="00546057" w:rsidRPr="00F574CE" w:rsidRDefault="001C62AE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</w:t>
      </w:r>
      <w:r w:rsidR="00546057" w:rsidRPr="00F574CE">
        <w:rPr>
          <w:sz w:val="28"/>
          <w:szCs w:val="28"/>
        </w:rPr>
        <w:t>ределен единый срок </w:t>
      </w:r>
      <w:hyperlink r:id="rId6" w:anchor="dst100346" w:history="1">
        <w:r w:rsidR="00546057" w:rsidRPr="00F574CE">
          <w:rPr>
            <w:rStyle w:val="a5"/>
            <w:color w:val="auto"/>
            <w:sz w:val="28"/>
            <w:szCs w:val="28"/>
            <w:u w:val="none"/>
          </w:rPr>
          <w:t>изменения</w:t>
        </w:r>
      </w:hyperlink>
      <w:r w:rsidR="00546057" w:rsidRPr="00F574CE">
        <w:rPr>
          <w:sz w:val="28"/>
          <w:szCs w:val="28"/>
        </w:rPr>
        <w:t> и </w:t>
      </w:r>
      <w:hyperlink r:id="rId7" w:anchor="dst100280" w:history="1">
        <w:r w:rsidR="00546057" w:rsidRPr="00F574CE">
          <w:rPr>
            <w:rStyle w:val="a5"/>
            <w:color w:val="auto"/>
            <w:sz w:val="28"/>
            <w:szCs w:val="28"/>
            <w:u w:val="none"/>
          </w:rPr>
          <w:t>отмены</w:t>
        </w:r>
      </w:hyperlink>
      <w:r w:rsidR="00546057" w:rsidRPr="00F574CE">
        <w:rPr>
          <w:sz w:val="28"/>
          <w:szCs w:val="28"/>
        </w:rPr>
        <w:t> любой электронной закупки - не позднее чем за 1 рабочий день до даты окончания подачи заявок, ранее, например, при проведении конкурса или электронного аукциона такой срок составлял 5 дней.</w:t>
      </w:r>
    </w:p>
    <w:p w:rsidR="00546057" w:rsidRPr="00F574CE" w:rsidRDefault="00546057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574CE">
        <w:rPr>
          <w:sz w:val="28"/>
          <w:szCs w:val="28"/>
        </w:rPr>
        <w:t>Изменены процедуры отдельных способов закупок. Например, в электронных аукционах нет деления заявки на первую и вторую части, а в запросе котировок </w:t>
      </w:r>
      <w:hyperlink r:id="rId8" w:anchor="dst2390" w:history="1">
        <w:r w:rsidRPr="00F574CE">
          <w:rPr>
            <w:rStyle w:val="a5"/>
            <w:color w:val="auto"/>
            <w:sz w:val="28"/>
            <w:szCs w:val="28"/>
            <w:u w:val="none"/>
          </w:rPr>
          <w:t>требуется обеспечение заявки</w:t>
        </w:r>
      </w:hyperlink>
      <w:r w:rsidRPr="00F574CE">
        <w:rPr>
          <w:sz w:val="28"/>
          <w:szCs w:val="28"/>
        </w:rPr>
        <w:t>, если НМЦК больше 1 млн. руб.</w:t>
      </w:r>
    </w:p>
    <w:p w:rsidR="001C62AE" w:rsidRDefault="00546057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574CE">
        <w:rPr>
          <w:sz w:val="28"/>
          <w:szCs w:val="28"/>
        </w:rPr>
        <w:t>Также с текущего года введена в действие единая форма заявки на участие в закупке</w:t>
      </w:r>
      <w:r w:rsidR="001C62AE">
        <w:rPr>
          <w:sz w:val="28"/>
          <w:szCs w:val="28"/>
        </w:rPr>
        <w:t xml:space="preserve"> (в статье 43).</w:t>
      </w:r>
    </w:p>
    <w:p w:rsidR="00546057" w:rsidRPr="00F574CE" w:rsidRDefault="001C62AE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Еще одним</w:t>
      </w:r>
      <w:r w:rsidR="00546057" w:rsidRPr="00F574CE">
        <w:rPr>
          <w:sz w:val="28"/>
          <w:szCs w:val="28"/>
        </w:rPr>
        <w:t xml:space="preserve"> наиболее значимым новшеством является введение универсальной </w:t>
      </w:r>
      <w:proofErr w:type="spellStart"/>
      <w:r w:rsidR="00546057" w:rsidRPr="00F574CE">
        <w:rPr>
          <w:sz w:val="28"/>
          <w:szCs w:val="28"/>
        </w:rPr>
        <w:t>предквалификации</w:t>
      </w:r>
      <w:proofErr w:type="spellEnd"/>
      <w:r w:rsidR="00546057" w:rsidRPr="00F574CE">
        <w:rPr>
          <w:sz w:val="28"/>
          <w:szCs w:val="28"/>
        </w:rPr>
        <w:t xml:space="preserve"> участников закупок. Согласно </w:t>
      </w:r>
      <w:proofErr w:type="gramStart"/>
      <w:r w:rsidR="00546057" w:rsidRPr="00F574CE">
        <w:rPr>
          <w:sz w:val="28"/>
          <w:szCs w:val="28"/>
        </w:rPr>
        <w:t>нововведению</w:t>
      </w:r>
      <w:proofErr w:type="gramEnd"/>
      <w:r w:rsidR="00546057" w:rsidRPr="00F574CE">
        <w:rPr>
          <w:sz w:val="28"/>
          <w:szCs w:val="28"/>
        </w:rPr>
        <w:t xml:space="preserve"> участвовать в крупной конкурентной закупке смогут только лица, у которых уже есть опыт работы с гос.</w:t>
      </w:r>
      <w:r>
        <w:rPr>
          <w:sz w:val="28"/>
          <w:szCs w:val="28"/>
        </w:rPr>
        <w:t xml:space="preserve"> закупками определенного уровня</w:t>
      </w:r>
      <w:r w:rsidR="00546057" w:rsidRPr="00F574CE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="00546057" w:rsidRPr="00F574CE">
        <w:rPr>
          <w:sz w:val="28"/>
          <w:szCs w:val="28"/>
        </w:rPr>
        <w:t xml:space="preserve"> закупках с НМЦК от 20 млн руб. и без обязательного требования о необходимости установления дополнительных требований следует предусмотреть условие: за последние 3 года у участника должен быть исполненный контракт по Законам № 44-ФЗ или № 223-ФЗ, при этом сумма контракта должна быть не меньше 20% НМЦК</w:t>
      </w:r>
      <w:r>
        <w:rPr>
          <w:sz w:val="28"/>
          <w:szCs w:val="28"/>
        </w:rPr>
        <w:t>)</w:t>
      </w:r>
      <w:r w:rsidR="00546057" w:rsidRPr="00F574CE">
        <w:rPr>
          <w:sz w:val="28"/>
          <w:szCs w:val="28"/>
        </w:rPr>
        <w:t xml:space="preserve">. </w:t>
      </w:r>
    </w:p>
    <w:p w:rsidR="00546057" w:rsidRPr="00F574CE" w:rsidRDefault="00546057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outlineLvl w:val="1"/>
        <w:rPr>
          <w:bCs/>
          <w:kern w:val="36"/>
          <w:sz w:val="28"/>
          <w:szCs w:val="28"/>
        </w:rPr>
      </w:pPr>
      <w:r w:rsidRPr="00F574CE">
        <w:rPr>
          <w:rStyle w:val="a4"/>
          <w:b w:val="0"/>
          <w:kern w:val="36"/>
          <w:sz w:val="28"/>
          <w:szCs w:val="28"/>
        </w:rPr>
        <w:t>Далее следует отметить, что теперь необходимо больше проводить закупок для субъектов малого предпринимательства и социально ориентированных некоммерческих организаций</w:t>
      </w:r>
      <w:r w:rsidRPr="00F574CE">
        <w:rPr>
          <w:bCs/>
          <w:kern w:val="36"/>
          <w:sz w:val="28"/>
          <w:szCs w:val="28"/>
        </w:rPr>
        <w:t xml:space="preserve">. </w:t>
      </w:r>
      <w:r w:rsidRPr="00F574CE">
        <w:rPr>
          <w:sz w:val="28"/>
          <w:szCs w:val="28"/>
        </w:rPr>
        <w:t>Годовой лимит закупок у данных субъектов увеличен с 15 до 25%.</w:t>
      </w:r>
    </w:p>
    <w:p w:rsidR="00546057" w:rsidRPr="00F574CE" w:rsidRDefault="00546057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outlineLvl w:val="1"/>
        <w:rPr>
          <w:bCs/>
          <w:kern w:val="36"/>
          <w:sz w:val="28"/>
          <w:szCs w:val="28"/>
        </w:rPr>
      </w:pPr>
      <w:r w:rsidRPr="00F574CE">
        <w:rPr>
          <w:rStyle w:val="a4"/>
          <w:b w:val="0"/>
          <w:kern w:val="36"/>
          <w:sz w:val="28"/>
          <w:szCs w:val="28"/>
        </w:rPr>
        <w:t>С 1 января 2022 года сокращены сроки оплаты по государственным и муниципальным контрактам</w:t>
      </w:r>
      <w:r w:rsidRPr="00F574CE">
        <w:rPr>
          <w:bCs/>
          <w:kern w:val="36"/>
          <w:sz w:val="28"/>
          <w:szCs w:val="28"/>
        </w:rPr>
        <w:t xml:space="preserve">. </w:t>
      </w:r>
      <w:r w:rsidRPr="00F574CE">
        <w:rPr>
          <w:sz w:val="28"/>
          <w:szCs w:val="28"/>
        </w:rPr>
        <w:t xml:space="preserve">Срок оплаты контрактов по итогам закупок только для СМП и СОНКО сокращен с 15 до 10 рабочих дней. Для остальных закупок - с 30 календарных до 15 рабочих дней. </w:t>
      </w:r>
    </w:p>
    <w:p w:rsidR="00546057" w:rsidRPr="00F574CE" w:rsidRDefault="00546057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outlineLvl w:val="1"/>
        <w:rPr>
          <w:bCs/>
          <w:kern w:val="36"/>
          <w:sz w:val="28"/>
          <w:szCs w:val="28"/>
        </w:rPr>
      </w:pPr>
      <w:r w:rsidRPr="00F574CE">
        <w:rPr>
          <w:bCs/>
          <w:kern w:val="36"/>
          <w:sz w:val="28"/>
          <w:szCs w:val="28"/>
        </w:rPr>
        <w:t>Также следует о</w:t>
      </w:r>
      <w:r w:rsidRPr="00F574CE">
        <w:rPr>
          <w:sz w:val="28"/>
          <w:szCs w:val="28"/>
        </w:rPr>
        <w:t>братить внимание на то, что термин «банковская гарантия» в новой редакции Закона о контрактной системе отсутствует. С 2022 года все гарантии по обеспечению заявки называются «независимыми».</w:t>
      </w:r>
      <w:r w:rsidRPr="00F574CE">
        <w:rPr>
          <w:bCs/>
          <w:kern w:val="36"/>
          <w:sz w:val="28"/>
          <w:szCs w:val="28"/>
        </w:rPr>
        <w:t xml:space="preserve"> </w:t>
      </w:r>
      <w:r w:rsidRPr="00F574CE">
        <w:rPr>
          <w:sz w:val="28"/>
          <w:szCs w:val="28"/>
        </w:rPr>
        <w:t>Как следует из новаций ч. 1 ст. 45 Закона о контрактной системе, независимые гарантии теперь могут быть выданы не только банками, но и государственной корпорацией развития "ВЭБ.РФ".</w:t>
      </w:r>
    </w:p>
    <w:p w:rsidR="00546057" w:rsidRPr="00F574CE" w:rsidRDefault="00546057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outlineLvl w:val="1"/>
        <w:rPr>
          <w:sz w:val="28"/>
          <w:szCs w:val="28"/>
        </w:rPr>
      </w:pPr>
      <w:r w:rsidRPr="00F574CE">
        <w:rPr>
          <w:rStyle w:val="a4"/>
          <w:b w:val="0"/>
          <w:kern w:val="36"/>
          <w:sz w:val="28"/>
          <w:szCs w:val="28"/>
        </w:rPr>
        <w:t>Относительно вопроса обжалования закупок в антимонопольный орган</w:t>
      </w:r>
      <w:r w:rsidRPr="00F574CE">
        <w:rPr>
          <w:bCs/>
          <w:kern w:val="36"/>
          <w:sz w:val="28"/>
          <w:szCs w:val="28"/>
        </w:rPr>
        <w:t xml:space="preserve"> следует отметить</w:t>
      </w:r>
      <w:r w:rsidRPr="00F574CE">
        <w:rPr>
          <w:sz w:val="28"/>
          <w:szCs w:val="28"/>
        </w:rPr>
        <w:t xml:space="preserve"> существенные изменения, а именно: </w:t>
      </w:r>
    </w:p>
    <w:p w:rsidR="00546057" w:rsidRPr="00F574CE" w:rsidRDefault="00546057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outlineLvl w:val="1"/>
        <w:rPr>
          <w:sz w:val="28"/>
          <w:szCs w:val="28"/>
        </w:rPr>
      </w:pPr>
      <w:r w:rsidRPr="00F574CE">
        <w:rPr>
          <w:sz w:val="28"/>
          <w:szCs w:val="28"/>
        </w:rPr>
        <w:t>-</w:t>
      </w:r>
      <w:r w:rsidRPr="00F574CE">
        <w:rPr>
          <w:sz w:val="28"/>
          <w:szCs w:val="28"/>
        </w:rPr>
        <w:tab/>
        <w:t>с 01 января 2022 года жалобы на электронные закупки </w:t>
      </w:r>
      <w:hyperlink r:id="rId9" w:history="1">
        <w:r w:rsidRPr="00F574CE">
          <w:rPr>
            <w:rStyle w:val="a5"/>
            <w:color w:val="auto"/>
            <w:sz w:val="28"/>
            <w:szCs w:val="28"/>
            <w:u w:val="none"/>
          </w:rPr>
          <w:t>подаются исключительно через функционал ЕИС</w:t>
        </w:r>
      </w:hyperlink>
      <w:r w:rsidRPr="00F574CE">
        <w:rPr>
          <w:sz w:val="28"/>
          <w:szCs w:val="28"/>
        </w:rPr>
        <w:t>;</w:t>
      </w:r>
    </w:p>
    <w:p w:rsidR="00546057" w:rsidRPr="00F574CE" w:rsidRDefault="00546057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574CE">
        <w:rPr>
          <w:sz w:val="28"/>
          <w:szCs w:val="28"/>
        </w:rPr>
        <w:t>-</w:t>
      </w:r>
      <w:r w:rsidRPr="00F574CE">
        <w:rPr>
          <w:sz w:val="28"/>
          <w:szCs w:val="28"/>
        </w:rPr>
        <w:tab/>
        <w:t>на одну и ту же редакцию извещения или документации можно подать </w:t>
      </w:r>
      <w:hyperlink r:id="rId10" w:history="1">
        <w:r w:rsidRPr="00F574CE">
          <w:rPr>
            <w:rStyle w:val="a5"/>
            <w:color w:val="auto"/>
            <w:sz w:val="28"/>
            <w:szCs w:val="28"/>
            <w:u w:val="none"/>
          </w:rPr>
          <w:t>только одну жалобу</w:t>
        </w:r>
      </w:hyperlink>
      <w:r w:rsidRPr="00F574CE">
        <w:rPr>
          <w:sz w:val="28"/>
          <w:szCs w:val="28"/>
        </w:rPr>
        <w:t>;</w:t>
      </w:r>
    </w:p>
    <w:p w:rsidR="00546057" w:rsidRPr="00F574CE" w:rsidRDefault="00546057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574CE">
        <w:rPr>
          <w:sz w:val="28"/>
          <w:szCs w:val="28"/>
        </w:rPr>
        <w:lastRenderedPageBreak/>
        <w:t>-</w:t>
      </w:r>
      <w:r w:rsidRPr="00F574CE">
        <w:rPr>
          <w:sz w:val="28"/>
          <w:szCs w:val="28"/>
        </w:rPr>
        <w:tab/>
        <w:t xml:space="preserve">если при проведении закупки была предусмотрена универсальная </w:t>
      </w:r>
      <w:proofErr w:type="spellStart"/>
      <w:r w:rsidRPr="00F574CE">
        <w:rPr>
          <w:sz w:val="28"/>
          <w:szCs w:val="28"/>
        </w:rPr>
        <w:t>предквалификация</w:t>
      </w:r>
      <w:proofErr w:type="spellEnd"/>
      <w:r w:rsidRPr="00F574CE">
        <w:rPr>
          <w:sz w:val="28"/>
          <w:szCs w:val="28"/>
        </w:rPr>
        <w:t>, </w:t>
      </w:r>
      <w:hyperlink r:id="rId11" w:anchor="dst101327" w:history="1">
        <w:r w:rsidRPr="00F574CE">
          <w:rPr>
            <w:rStyle w:val="a5"/>
            <w:color w:val="auto"/>
            <w:sz w:val="28"/>
            <w:szCs w:val="28"/>
            <w:u w:val="none"/>
          </w:rPr>
          <w:t>обжаловать действия субъекта контроля могут</w:t>
        </w:r>
      </w:hyperlink>
      <w:r w:rsidRPr="00F574CE">
        <w:rPr>
          <w:sz w:val="28"/>
          <w:szCs w:val="28"/>
        </w:rPr>
        <w:t> только те участники, кто ей соответствует.</w:t>
      </w:r>
    </w:p>
    <w:p w:rsidR="00546057" w:rsidRDefault="00F574CE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Такие изменения были внесены с целью оптимизации контрактной системы в сфере закупок, её упрощения и сокращения сроков проводимых конкурентных процедур.</w:t>
      </w:r>
    </w:p>
    <w:p w:rsidR="00C64405" w:rsidRPr="00F574CE" w:rsidRDefault="00C64405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0201D" w:rsidRDefault="00F0201D">
      <w:pP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6D634D" w:rsidRDefault="00BB6865" w:rsidP="001C62AE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 w:val="0"/>
          <w:i/>
          <w:color w:val="00000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lastRenderedPageBreak/>
        <w:t>Мониторинг цен на газоиспользующее оборудование</w:t>
      </w:r>
      <w:r w:rsidR="006D634D" w:rsidRPr="006D634D">
        <w:rPr>
          <w:b w:val="0"/>
          <w:i/>
          <w:color w:val="000000"/>
          <w:sz w:val="28"/>
          <w:szCs w:val="28"/>
        </w:rPr>
        <w:t>.</w:t>
      </w:r>
    </w:p>
    <w:p w:rsidR="00C64405" w:rsidRDefault="00C64405" w:rsidP="001C62AE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 w:val="0"/>
          <w:i/>
          <w:color w:val="000000"/>
          <w:sz w:val="28"/>
          <w:szCs w:val="28"/>
        </w:rPr>
      </w:pPr>
    </w:p>
    <w:p w:rsidR="00BB6865" w:rsidRPr="00BB6865" w:rsidRDefault="00BB6865" w:rsidP="001C62AE">
      <w:pPr>
        <w:pStyle w:val="article-renderblock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865">
        <w:rPr>
          <w:sz w:val="28"/>
          <w:szCs w:val="28"/>
        </w:rPr>
        <w:t xml:space="preserve">По поручению Президента Российской Федерации начала реализовываться новая программа </w:t>
      </w:r>
      <w:r w:rsidRPr="00BB6865">
        <w:rPr>
          <w:bCs/>
          <w:sz w:val="28"/>
          <w:szCs w:val="28"/>
        </w:rPr>
        <w:t xml:space="preserve">социальной газификации РФ. </w:t>
      </w:r>
    </w:p>
    <w:p w:rsidR="00BB6865" w:rsidRPr="00BB6865" w:rsidRDefault="00BB6865" w:rsidP="001C62AE">
      <w:pPr>
        <w:pStyle w:val="article-renderblock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865">
        <w:rPr>
          <w:sz w:val="28"/>
          <w:szCs w:val="28"/>
        </w:rPr>
        <w:t xml:space="preserve">18 сентября 2021 г. вступило в законную в силу </w:t>
      </w:r>
      <w:r w:rsidRPr="00BB6865">
        <w:rPr>
          <w:bCs/>
          <w:sz w:val="28"/>
          <w:szCs w:val="28"/>
        </w:rPr>
        <w:t>Постановление Правительства Российской Федерации № 1547</w:t>
      </w:r>
      <w:r w:rsidRPr="00BB6865">
        <w:rPr>
          <w:sz w:val="28"/>
          <w:szCs w:val="28"/>
        </w:rPr>
        <w:t xml:space="preserve">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 и о признании утратившими силу некоторых актов Правительства Российской Федерации» (далее – Правила № 1547). </w:t>
      </w:r>
    </w:p>
    <w:p w:rsidR="00BB6865" w:rsidRPr="00BB6865" w:rsidRDefault="00BB6865" w:rsidP="001C62A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865">
        <w:rPr>
          <w:sz w:val="28"/>
          <w:szCs w:val="28"/>
        </w:rPr>
        <w:t xml:space="preserve">В частности, Правила № 1547 предусматривают возможность </w:t>
      </w:r>
      <w:proofErr w:type="spellStart"/>
      <w:r w:rsidRPr="00BB6865">
        <w:rPr>
          <w:sz w:val="28"/>
          <w:szCs w:val="28"/>
        </w:rPr>
        <w:t>догазификации</w:t>
      </w:r>
      <w:proofErr w:type="spellEnd"/>
      <w:r w:rsidRPr="00BB6865">
        <w:rPr>
          <w:sz w:val="28"/>
          <w:szCs w:val="28"/>
        </w:rPr>
        <w:t>.</w:t>
      </w:r>
    </w:p>
    <w:p w:rsidR="00BB6865" w:rsidRPr="00BB6865" w:rsidRDefault="00BB6865" w:rsidP="001C62A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865">
        <w:rPr>
          <w:sz w:val="28"/>
          <w:szCs w:val="28"/>
        </w:rPr>
        <w:t>Такое подключение будет осуществляться до границ земельных участков без взимания платы при условии, что в населенном пункте, в котором располагаются домовладения, имеются газораспределительные сети и осуществляется транспортировка газа.</w:t>
      </w:r>
    </w:p>
    <w:p w:rsidR="00BB6865" w:rsidRPr="00BB6865" w:rsidRDefault="00BB6865" w:rsidP="001C62A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65">
        <w:rPr>
          <w:rFonts w:ascii="Times New Roman" w:hAnsi="Times New Roman" w:cs="Times New Roman"/>
          <w:sz w:val="28"/>
          <w:szCs w:val="28"/>
        </w:rPr>
        <w:t xml:space="preserve">Для бесплатного подведения газа к участку определены критерии, которым должны соответствовать сам населенный пункт и дом, а именно в населенном пункте должен быть проведен и сдан распределительный газопровод, при этом участок должен находиться на расстоянии не более 200 м от существующих газопроводов, а объем потребления на участке не превышать 7 куб. м в час. </w:t>
      </w:r>
    </w:p>
    <w:p w:rsidR="00BB6865" w:rsidRPr="00BB6865" w:rsidRDefault="00BB6865" w:rsidP="001C62A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65">
        <w:rPr>
          <w:rFonts w:ascii="Times New Roman" w:hAnsi="Times New Roman" w:cs="Times New Roman"/>
          <w:sz w:val="28"/>
          <w:szCs w:val="28"/>
        </w:rPr>
        <w:t xml:space="preserve">Если участок удовлетворяет необходимым требованиям, а сам населенный пункт включен в программу социальной газификации, то можно подавать заявку на подведение бесплатного газа к участку. </w:t>
      </w:r>
    </w:p>
    <w:p w:rsidR="00BB6865" w:rsidRPr="00BB6865" w:rsidRDefault="00BB6865" w:rsidP="001C62A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65">
        <w:rPr>
          <w:rFonts w:ascii="Times New Roman" w:hAnsi="Times New Roman" w:cs="Times New Roman"/>
          <w:sz w:val="28"/>
          <w:szCs w:val="28"/>
        </w:rPr>
        <w:t xml:space="preserve">Сроки осуществления мероприятий по подключению в рамках </w:t>
      </w:r>
      <w:proofErr w:type="spellStart"/>
      <w:r w:rsidRPr="00BB6865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BB6865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программой газификации и устанавливаются в зависимости от удаленности домовладения от газораспределительной инфраструктуры.</w:t>
      </w:r>
    </w:p>
    <w:p w:rsidR="00BB6865" w:rsidRPr="00BB6865" w:rsidRDefault="00BB6865" w:rsidP="001C62A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65">
        <w:rPr>
          <w:rFonts w:ascii="Times New Roman" w:hAnsi="Times New Roman" w:cs="Times New Roman"/>
          <w:sz w:val="28"/>
          <w:szCs w:val="28"/>
        </w:rPr>
        <w:lastRenderedPageBreak/>
        <w:t>От границы участка до дома, в зависимости от сложности работ и протяжности участка, газификация займет от 30 дней до 1 года.</w:t>
      </w:r>
    </w:p>
    <w:p w:rsidR="00BB6865" w:rsidRPr="00BB6865" w:rsidRDefault="00BB6865" w:rsidP="001C62A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65">
        <w:rPr>
          <w:rFonts w:ascii="Times New Roman" w:hAnsi="Times New Roman" w:cs="Times New Roman"/>
          <w:sz w:val="28"/>
          <w:szCs w:val="28"/>
        </w:rPr>
        <w:t xml:space="preserve">Чтобы провести газ непосредственно в дом, собственникам нужно подать заявку в газораспределительную компанию на комплексный договор (по нему будут проведены все работы). Также можно обратиться в любую специализированную организацию или несколько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заключив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B6865">
        <w:rPr>
          <w:rFonts w:ascii="Times New Roman" w:hAnsi="Times New Roman" w:cs="Times New Roman"/>
          <w:sz w:val="28"/>
          <w:szCs w:val="28"/>
        </w:rPr>
        <w:t>каждой отдельный договор</w:t>
      </w:r>
      <w:proofErr w:type="gramEnd"/>
      <w:r w:rsidRPr="00BB6865">
        <w:rPr>
          <w:rFonts w:ascii="Times New Roman" w:hAnsi="Times New Roman" w:cs="Times New Roman"/>
          <w:sz w:val="28"/>
          <w:szCs w:val="28"/>
        </w:rPr>
        <w:t>.</w:t>
      </w:r>
    </w:p>
    <w:p w:rsidR="00BB6865" w:rsidRPr="00BB6865" w:rsidRDefault="00BB6865" w:rsidP="001C62A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65">
        <w:rPr>
          <w:rFonts w:ascii="Times New Roman" w:hAnsi="Times New Roman" w:cs="Times New Roman"/>
          <w:sz w:val="28"/>
          <w:szCs w:val="28"/>
        </w:rPr>
        <w:t xml:space="preserve">Граждане, которые заключили договоры о подведении газа к дому после 21 апреля, но еще не подписали акты о подключении, тоже могут воспользоваться программой </w:t>
      </w:r>
      <w:proofErr w:type="spellStart"/>
      <w:r w:rsidRPr="00BB6865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BB6865">
        <w:rPr>
          <w:rFonts w:ascii="Times New Roman" w:hAnsi="Times New Roman" w:cs="Times New Roman"/>
          <w:sz w:val="28"/>
          <w:szCs w:val="28"/>
        </w:rPr>
        <w:t>. Они вправе либо включить в договор условие о бесплатном выполнении работ, либо потребовать возврата денег, если они уже уплачены.</w:t>
      </w:r>
    </w:p>
    <w:p w:rsidR="00BB6865" w:rsidRPr="00BB6865" w:rsidRDefault="00BB6865" w:rsidP="001C62A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65">
        <w:rPr>
          <w:rFonts w:ascii="Times New Roman" w:hAnsi="Times New Roman" w:cs="Times New Roman"/>
          <w:sz w:val="28"/>
          <w:szCs w:val="28"/>
        </w:rPr>
        <w:t xml:space="preserve">За нарушение Правил № 1547, в </w:t>
      </w:r>
      <w:proofErr w:type="spellStart"/>
      <w:r w:rsidRPr="00BB686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B6865">
        <w:rPr>
          <w:rFonts w:ascii="Times New Roman" w:hAnsi="Times New Roman" w:cs="Times New Roman"/>
          <w:sz w:val="28"/>
          <w:szCs w:val="28"/>
        </w:rPr>
        <w:t xml:space="preserve">. отказ в заключении договора; навязывание невыгодных условий договора; нарушение сроков заключения договора; нарушение сроков подключения, предусмотрена административная ответственность по ст. 9.21 КоАП РФ. </w:t>
      </w:r>
    </w:p>
    <w:p w:rsidR="00BB6865" w:rsidRPr="00BB6865" w:rsidRDefault="00BB6865" w:rsidP="001C62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865">
        <w:rPr>
          <w:sz w:val="28"/>
          <w:szCs w:val="28"/>
        </w:rPr>
        <w:t xml:space="preserve">Правительство дало поручение антимонопольной службе следить за тем, чтобы газового оборудования хватало для подключения домовладений к газу, а цены на него не завышались, поскольку в рамках увеличения количества заявок и работ может возникнуть повышенный спрос на соответствующее оборудование. </w:t>
      </w:r>
    </w:p>
    <w:p w:rsidR="00C70131" w:rsidRPr="0024603F" w:rsidRDefault="00BB6865" w:rsidP="001C62A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865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указанного поручения Кемеровское УФАС России дважды в месяц проводит мониторинг с целью фиксации динамики цен на бытовое газоиспользующее оборудование (газовые котлы, плиты, счетчики, сигнализаторы).</w:t>
      </w:r>
      <w:r w:rsidRPr="00BB6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проверки - оценка динамики ассортимента и ценового коридора на бытовое газоиспользующее оборудование. </w:t>
      </w:r>
    </w:p>
    <w:p w:rsidR="00C70131" w:rsidRDefault="00C70131" w:rsidP="001C62AE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 w:val="0"/>
          <w:bCs w:val="0"/>
          <w:i/>
          <w:color w:val="000000"/>
          <w:kern w:val="0"/>
          <w:sz w:val="28"/>
          <w:szCs w:val="28"/>
        </w:rPr>
      </w:pPr>
    </w:p>
    <w:p w:rsidR="006D634D" w:rsidRDefault="006D634D" w:rsidP="001C62AE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 w:val="0"/>
          <w:bCs w:val="0"/>
          <w:i/>
          <w:color w:val="000000"/>
          <w:kern w:val="0"/>
          <w:sz w:val="28"/>
          <w:szCs w:val="28"/>
        </w:rPr>
      </w:pPr>
      <w:r w:rsidRPr="003C7D85">
        <w:rPr>
          <w:b w:val="0"/>
          <w:bCs w:val="0"/>
          <w:i/>
          <w:color w:val="000000"/>
          <w:kern w:val="0"/>
          <w:sz w:val="28"/>
          <w:szCs w:val="28"/>
        </w:rPr>
        <w:lastRenderedPageBreak/>
        <w:t xml:space="preserve">Исследование товарного рынка услуг по проведению на платной основе лабораторных исследований на наличие возбудителя </w:t>
      </w:r>
      <w:proofErr w:type="spellStart"/>
      <w:r w:rsidRPr="003C7D85">
        <w:rPr>
          <w:b w:val="0"/>
          <w:bCs w:val="0"/>
          <w:i/>
          <w:color w:val="000000"/>
          <w:kern w:val="0"/>
          <w:sz w:val="28"/>
          <w:szCs w:val="28"/>
        </w:rPr>
        <w:t>коронавирусной</w:t>
      </w:r>
      <w:proofErr w:type="spellEnd"/>
      <w:r w:rsidRPr="003C7D85">
        <w:rPr>
          <w:b w:val="0"/>
          <w:bCs w:val="0"/>
          <w:i/>
          <w:color w:val="000000"/>
          <w:kern w:val="0"/>
          <w:sz w:val="28"/>
          <w:szCs w:val="28"/>
        </w:rPr>
        <w:t xml:space="preserve"> инфекции методом ПЦР на территории Кузбасса.</w:t>
      </w:r>
    </w:p>
    <w:p w:rsidR="00C64405" w:rsidRPr="003C7D85" w:rsidRDefault="00C64405" w:rsidP="001C62AE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 w:val="0"/>
          <w:bCs w:val="0"/>
          <w:i/>
          <w:color w:val="000000"/>
          <w:kern w:val="0"/>
          <w:sz w:val="28"/>
          <w:szCs w:val="28"/>
        </w:rPr>
      </w:pPr>
    </w:p>
    <w:p w:rsidR="005D55DB" w:rsidRPr="005D55DB" w:rsidRDefault="005D55DB" w:rsidP="001C62A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поручению Правительства ФАС России провела проверку обоснованности стоимости ПЦР-тестирования в частных и государственных медицинских учреждениях во всех регионах страны.</w:t>
      </w:r>
    </w:p>
    <w:p w:rsidR="005D55DB" w:rsidRPr="005D55DB" w:rsidRDefault="005D55DB" w:rsidP="001C62A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проверки, в частности, установлено, что исследования на новую </w:t>
      </w:r>
      <w:proofErr w:type="spellStart"/>
      <w:r w:rsidRPr="005D5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коронавирусную</w:t>
      </w:r>
      <w:proofErr w:type="spellEnd"/>
      <w:r w:rsidRPr="005D5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инфекцию проводятся в 1254 медицинских организациях, из которых 960 (77 %) являются государственными. На территории 23 субъектов (27%) ПЦР-тестирование осуществляется исключительно в государственных лабораториях, коммерческие лаборатории данную услугу не предоставляют.</w:t>
      </w:r>
    </w:p>
    <w:p w:rsidR="005D55DB" w:rsidRPr="005D55DB" w:rsidRDefault="005D55DB" w:rsidP="001C62A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 стандартной услуги (24 часа, без выезда на дом) варьируется в зависимости от региона и составляет от 440 руб. (ЦФО, СКФО) до 3483 руб. (УФО). Фактическая среднестатистическая стоимость ПЦР-тестирования в России составляет 1345,55 руб. (рассчитана с учетом средних значений, определенных по каждому федеральному округу, без учета услуг по забору биоматериала, стоимость которых в среднем по стране составляет от 250 до 350 рублей).</w:t>
      </w:r>
    </w:p>
    <w:p w:rsidR="005D55DB" w:rsidRPr="005D55DB" w:rsidRDefault="005D55DB" w:rsidP="001C62A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ряде регионов размер платных услуг в государственных лабораториях превышает средний норматив финансовых затрат для оплаты медицинской помощи в рамках реализации базовой программы ОМС. В связи с этим ФАС России считает целесообразным рекомендовать субъектам провести анализ тарифов на ПЦР-исследования и забор биоматериала в государственных лабораториях и обеспечить приведение цен в соответствие с указанным нормативом с учетом коэффициента дифференциации, установленного для субъектов РФ.</w:t>
      </w:r>
    </w:p>
    <w:p w:rsidR="005D55DB" w:rsidRPr="005D55DB" w:rsidRDefault="005D55DB" w:rsidP="001C62A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результатам проверки ФАС России также разработает методику установления рекомендованных предельных цен на ПЦР-тестирование в частных лабораториях.</w:t>
      </w:r>
    </w:p>
    <w:p w:rsidR="005D55DB" w:rsidRDefault="005D55DB" w:rsidP="001C62AE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5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целях развития конкуренции ФАС России считает целесообразным обеспечить проведение мероприятий по расширению присутствия коммерческих лабораторий (в субъектах, в которых коммерческие лаборатории отсутствуют или представлены в единичном числе).</w:t>
      </w:r>
    </w:p>
    <w:p w:rsidR="00F0201D" w:rsidRPr="00F0201D" w:rsidRDefault="00F0201D" w:rsidP="00F020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0201D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территории Кемеровской области – Кузбасса, допущены к исследованию ПЦР-тестирования на новую </w:t>
      </w:r>
      <w:proofErr w:type="spellStart"/>
      <w:r w:rsidRPr="00F0201D">
        <w:rPr>
          <w:rFonts w:ascii="Times New Roman" w:hAnsi="Times New Roman" w:cs="Times New Roman"/>
          <w:bCs/>
          <w:kern w:val="36"/>
          <w:sz w:val="28"/>
          <w:szCs w:val="28"/>
        </w:rPr>
        <w:t>коронавирусную</w:t>
      </w:r>
      <w:proofErr w:type="spellEnd"/>
      <w:r w:rsidRPr="00F0201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инфекцию Федеральной службой по надзору в сфере защиты прав потребителей - </w:t>
      </w:r>
      <w:r w:rsidRPr="00F0201D">
        <w:rPr>
          <w:rFonts w:ascii="Times New Roman" w:hAnsi="Times New Roman" w:cs="Times New Roman"/>
          <w:b/>
          <w:bCs/>
          <w:kern w:val="36"/>
          <w:sz w:val="28"/>
          <w:szCs w:val="28"/>
        </w:rPr>
        <w:t>20 Лабораторий</w:t>
      </w:r>
      <w:r w:rsidRPr="00F0201D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из которых 5 (25 %) являются частными медицинскими организациями, 15 (75%) государственные учреждения. </w:t>
      </w:r>
    </w:p>
    <w:p w:rsidR="003C7D85" w:rsidRPr="003C7D85" w:rsidRDefault="003C7D85" w:rsidP="001C62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C7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проведенного исследования данного товарного рынка оснований для применения мер</w:t>
      </w:r>
      <w:r w:rsidRPr="003C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антимонопольного реагирования Кемеровским УФАС России не установлено.</w:t>
      </w:r>
    </w:p>
    <w:p w:rsidR="006D634D" w:rsidRDefault="003C7D85" w:rsidP="001C62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85">
        <w:rPr>
          <w:rFonts w:ascii="Times New Roman" w:hAnsi="Times New Roman" w:cs="Times New Roman"/>
          <w:sz w:val="28"/>
          <w:szCs w:val="28"/>
        </w:rPr>
        <w:t xml:space="preserve">Кемеровское УФАС России продолжает работу по исследованию товарного рынка </w:t>
      </w:r>
      <w:r w:rsidRPr="003C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по проведению на платной основе лабораторных исследований на наличие возбудителя новой </w:t>
      </w:r>
      <w:proofErr w:type="spellStart"/>
      <w:r w:rsidRPr="003C7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C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методом ПЦР на территории Кемеровской области – Кузбасса. </w:t>
      </w:r>
    </w:p>
    <w:p w:rsidR="0024603F" w:rsidRDefault="0024603F" w:rsidP="001C62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B7C" w:rsidRDefault="002B0B7C" w:rsidP="001C62A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0B7C" w:rsidRDefault="002B0B7C" w:rsidP="001C62A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0B7C" w:rsidRDefault="002B0B7C" w:rsidP="001C62A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0460" w:rsidRDefault="006D046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24603F" w:rsidRDefault="0024603F" w:rsidP="001C62A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60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Резонансные дела</w:t>
      </w:r>
    </w:p>
    <w:p w:rsidR="0024603F" w:rsidRDefault="0024603F" w:rsidP="001C62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3F" w:rsidRPr="0024603F" w:rsidRDefault="0024603F" w:rsidP="001C62AE">
      <w:pPr>
        <w:shd w:val="clear" w:color="auto" w:fill="FFFFFF"/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0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Штраф</w:t>
      </w:r>
      <w:r w:rsidRPr="0024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11 миллионов 429 тысяч рублей управление вынесло в отношении ПАО «</w:t>
      </w:r>
      <w:proofErr w:type="spellStart"/>
      <w:r w:rsidRPr="0024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24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Сибирь»</w:t>
      </w:r>
      <w:r w:rsidR="002B0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 году</w:t>
      </w:r>
      <w:r w:rsidRPr="0024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августа 2020 года – ПАО «МРСК Сибири») за угрозу незаконного ограничения электроэнергии на шахтах.</w:t>
      </w:r>
    </w:p>
    <w:p w:rsidR="0024603F" w:rsidRPr="0024603F" w:rsidRDefault="0024603F" w:rsidP="001C62AE">
      <w:pPr>
        <w:shd w:val="clear" w:color="auto" w:fill="FFFFFF"/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Поводом к штрафу стало решение комиссии Кемеровского УФАС по делу в отношении этой сетевой компании, принятое</w:t>
      </w:r>
      <w:r w:rsidR="002B0B7C" w:rsidRPr="002B0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Pr="0024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году, которым управление признало в действиях общества факт нарушения Закона о защите конкуренции. Общество хотело незаконно ввести режим ограничения потребления электроэнергии на объектах ООО «Шахта «</w:t>
      </w:r>
      <w:proofErr w:type="spellStart"/>
      <w:r w:rsidRPr="0024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Грамотеинская</w:t>
      </w:r>
      <w:proofErr w:type="spellEnd"/>
      <w:r w:rsidRPr="0024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АО «Шахта «</w:t>
      </w:r>
      <w:proofErr w:type="spellStart"/>
      <w:r w:rsidRPr="0024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Полосухинская</w:t>
      </w:r>
      <w:proofErr w:type="spellEnd"/>
      <w:r w:rsidRPr="0024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выставило счета на оплату объемов бездоговорного потребления электрической энергии, а также пыталось навязать заявителям заключение договора, призывая расторгнуть договор с ООО «СЭТ-42».</w:t>
      </w:r>
    </w:p>
    <w:p w:rsidR="0024603F" w:rsidRPr="0024603F" w:rsidRDefault="0024603F" w:rsidP="001C62AE">
      <w:pPr>
        <w:shd w:val="clear" w:color="auto" w:fill="FFFFFF"/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УФАС пришло к выводу, что действия ПАО «</w:t>
      </w:r>
      <w:proofErr w:type="spellStart"/>
      <w:r w:rsidRPr="0024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24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Сибирь» не были основаны на нормах законодательства и нарушали свободу договора, а понуждение шахт к заключению договоров о передаче электрической энергии непосредственно с ПАО «</w:t>
      </w:r>
      <w:proofErr w:type="spellStart"/>
      <w:r w:rsidRPr="0024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246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Сибирь», миную нижестоящую сетевую организацию ООО «СЭТ-42», незаконно, равно как и направление уведомлений о введении режима ограничения электроэнергии.</w:t>
      </w:r>
    </w:p>
    <w:p w:rsidR="00CE6D24" w:rsidRPr="00EB2204" w:rsidRDefault="00CE6D24" w:rsidP="001C62A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особо стоит отметить выданное управлением </w:t>
      </w:r>
      <w:r w:rsidRPr="00EB22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предостережение</w:t>
      </w: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частью 2.1 статьи 25.7 Федерального закона от 26.07.2006 № 135-ФЗ «О защите конкуренции» основанием для антимонопольного предостережения органам власти является информация о планируемых действиях (бездействии), способных привести к нарушению антимонопольного законодательства.</w:t>
      </w:r>
    </w:p>
    <w:p w:rsidR="0024603F" w:rsidRPr="00CE6D24" w:rsidRDefault="00CE6D24" w:rsidP="001C62AE">
      <w:pPr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декабря Кемеровское УФАС России направило предостережение о недопустимости действий, которые могут привести к нарушению Закона о защите конкуренции, в адрес Министерства промышленности и торговли Кузбасса. Ранее Кемеровскому УФАС России стало известно о появлении </w:t>
      </w: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изменений в Закон Кемеровской области о продаже алкогольной продукции (проект Закона Кемеровской области «О внесении изменений в Закон Кемеровской области от 20.12.2011 № 156-ОЗ «О некоторых вопросах в сфере государственного регулирования розничной продажи алкогольной продукции и о признании утратившими силу некоторых законодательных актов (положений законодательных актов) Кемеровской области»). В частности, антимонопольный орган заинтересовал пункт, который должен вступить в силу в марте 2022 года: запрет на розничную продажу алкоголя в розлив в помещениях, переведенных из жилых в нежилые, а также в помещениях, изначально предназначенных для коммерческой деятельности, площадью менее 100 квадратных метров. Согласно пункту 8 части 1 статьи 15 Закона о защите конкуренции, органам власти запрещается принимать акты и (или) осуществлять действия (бездействие), которые приводят или могут привести &lt;…&gt; к созданию дискриминационных условий. Антимонопольный орган в своем предостережении напомнил о запрете создавать дискриминационные условия, ограничивающие конкуренцию. Нововведения могут поставить участников рынка, продающих алкоголь в розлив, в неравное положение по сравнению с хозяйствующими субъектами, торгующими продукцией в таре производителя. Кемеровское УФАС России настаивает на необходимости создания равных условий для всех участников розничной торговли в этом случае.</w:t>
      </w:r>
      <w:r w:rsidR="00E5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момент вступление в данного пункта остается под вопросом.</w:t>
      </w:r>
    </w:p>
    <w:p w:rsidR="006D0460" w:rsidRDefault="006D0460">
      <w:pPr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>
        <w:rPr>
          <w:bCs/>
          <w:i/>
          <w:sz w:val="30"/>
          <w:szCs w:val="30"/>
        </w:rPr>
        <w:br w:type="page"/>
      </w:r>
    </w:p>
    <w:p w:rsidR="00FC4573" w:rsidRPr="00FC4573" w:rsidRDefault="00FC4573" w:rsidP="001C62AE">
      <w:pPr>
        <w:pStyle w:val="a3"/>
        <w:shd w:val="clear" w:color="auto" w:fill="FFFFFF"/>
        <w:spacing w:after="75" w:line="360" w:lineRule="auto"/>
        <w:ind w:firstLine="567"/>
        <w:jc w:val="center"/>
        <w:textAlignment w:val="baseline"/>
        <w:rPr>
          <w:bCs/>
          <w:i/>
          <w:sz w:val="30"/>
          <w:szCs w:val="30"/>
        </w:rPr>
      </w:pPr>
      <w:r w:rsidRPr="00FC4573">
        <w:rPr>
          <w:bCs/>
          <w:i/>
          <w:sz w:val="30"/>
          <w:szCs w:val="30"/>
        </w:rPr>
        <w:lastRenderedPageBreak/>
        <w:t>Коротко о важных меропри</w:t>
      </w:r>
      <w:r w:rsidR="004E23CD">
        <w:rPr>
          <w:bCs/>
          <w:i/>
          <w:sz w:val="30"/>
          <w:szCs w:val="30"/>
        </w:rPr>
        <w:t>ятиях, которые мы провели в 2021</w:t>
      </w:r>
      <w:r w:rsidRPr="00FC4573">
        <w:rPr>
          <w:bCs/>
          <w:i/>
          <w:sz w:val="30"/>
          <w:szCs w:val="30"/>
        </w:rPr>
        <w:t xml:space="preserve"> году</w:t>
      </w:r>
    </w:p>
    <w:p w:rsidR="00FC4573" w:rsidRPr="00EB2204" w:rsidRDefault="00FC4573" w:rsidP="001C62A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значимых событий для Кемеровского УФАС России в 2021 году стало проведение </w:t>
      </w:r>
      <w:r w:rsidRPr="00EB22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Недели конкуренции в Кузбассе</w:t>
      </w: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18 по 22 октября 2021 года).</w:t>
      </w:r>
    </w:p>
    <w:p w:rsidR="00FC4573" w:rsidRPr="00EB2204" w:rsidRDefault="00FC4573" w:rsidP="001C62AE">
      <w:pPr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проведения крупного проекта «Неделя конкуренции в Кузбассе» стало целенаправленное усиление внимания к вопросам развития конкуренции в регионе и стране. Ориентированные на разную целевую аудиторию мероприятия (СМИ, граждане, студенты, школьники, научное сообщество, органы власти) позволили аккумулировать различные группы сообществ в стремлении погрузиться в темы </w:t>
      </w:r>
      <w:proofErr w:type="spellStart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проконкурентного</w:t>
      </w:r>
      <w:proofErr w:type="spellEnd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экономики. Кроме того, отдельным достижением считаем возможность собрать и проанализировать опыт коллег других регионов, участвующих очно, заочно (публикацией в сборнике работ) или по средствам видеоконференцсвязи в мероприятиях Кемеровского УФАС России. Речь идет о Курганском УФАС, Самарском УФАС, Томском УФАС, Красноярском УФАС, Хакасском УФАС, Иркутском УФАС.</w:t>
      </w:r>
    </w:p>
    <w:p w:rsidR="00FC4573" w:rsidRPr="00EB2204" w:rsidRDefault="00FC4573" w:rsidP="001C62AE">
      <w:pPr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мероприятие проекта решало свою задачу, направленную на общую цель – взаимодействие с научным сообществом; взаимодействие с органом власти субъекта по вопросам усиления внимания к вопросам конкуренции в Кемеровской области – Кузбассе; взаимодействие с ведущими вузами страны и коллегами из антимонопольных органов по проблемным вопросам, принимая во внимание опыт других регионов страны; повышение уровня знаний учащихся и студентов об антимонопольном законодательстве; воспитание молодого поколения, осознающего влияние конкуренции, ее значимости для экономики области и страны.</w:t>
      </w:r>
    </w:p>
    <w:p w:rsidR="00FC4573" w:rsidRPr="00EB2204" w:rsidRDefault="00FC4573" w:rsidP="001C62AE">
      <w:pPr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выполнения целей мероприятия к участию привлечены не только студенты различных вузов, специалисты антимонопольного права, но и Правительство Кемеровской области – Кузбасса, отделение Банка России по </w:t>
      </w: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Кемеровской области, Общественный совет ФАС России (заместитель председателя В.А. </w:t>
      </w:r>
      <w:proofErr w:type="spellStart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Бодренков</w:t>
      </w:r>
      <w:proofErr w:type="spellEnd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4573" w:rsidRPr="00EB2204" w:rsidRDefault="00FC4573" w:rsidP="001C62AE">
      <w:pPr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Недели конкуренции в Кузбассе Кемеровское УФАС России приурочило к 30-летию со дня создания антимонопольных органов в России.</w:t>
      </w:r>
    </w:p>
    <w:p w:rsidR="00FC4573" w:rsidRPr="00EB2204" w:rsidRDefault="00FC4573" w:rsidP="001C62AE">
      <w:pPr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мероприятия прошло на круглом столе «Региональные особенности антимонопольного регулирования», где прозвучали наиболее важные доклады. Мероприятие, совместно организованное Управлением Федеральной антимонопольной службы по Кемеровской области и Кузбасским государственным техническим университетом им. Т.Ф. Горбачева.</w:t>
      </w:r>
    </w:p>
    <w:p w:rsidR="00FC4573" w:rsidRDefault="00FC4573" w:rsidP="001C62A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участников круглого стола вошли руководитель Кемеровского УФАС России Наталья </w:t>
      </w:r>
      <w:proofErr w:type="spellStart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Кухарская</w:t>
      </w:r>
      <w:proofErr w:type="spellEnd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ректор </w:t>
      </w:r>
      <w:proofErr w:type="spellStart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КузГТУ</w:t>
      </w:r>
      <w:proofErr w:type="spellEnd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Яковлев, заместитель председателя Правительства Кузбасса по экономическому развитию Сергей Ващенко, заместитель председателя Общественного совета ФАС России Валерий </w:t>
      </w:r>
      <w:proofErr w:type="spellStart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Бодренков</w:t>
      </w:r>
      <w:proofErr w:type="spellEnd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Курганского УФАС России Татьяна Соболевская, а также представители Самарского УФАС России, Центробанка, научного сообщества и крупных компаний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573" w:rsidRPr="00EB2204" w:rsidRDefault="00FC4573" w:rsidP="001C62AE">
      <w:pPr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Кемеровского УФАС России особый интерес представляла секция для специалистов в области антимонопольного регулирования, организованная для коллег из территориальных органов, в управлении (с</w:t>
      </w:r>
      <w:r w:rsidR="0029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возможностью подключения по ВКС)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проведения внутренней секции для специалистов в области антимонопольного регулирования – еще один из вариантов решения вопроса о единообразии практики территориальных органов ведомства, поскольку каждый прозвучавший доклад был готовым кейсом из практики коллег, который можно и нужно обсуждать, принимать во внимание и использовать в своей работе. </w:t>
      </w:r>
    </w:p>
    <w:p w:rsidR="00FC4573" w:rsidRDefault="00FC4573" w:rsidP="001C62A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говорилось ранее, наша деятельность направлена на разную целевую аудиторию. Мы хотим, чтобы с антимонопольным законодательством были знакомы не только профильные специалисты.</w:t>
      </w:r>
    </w:p>
    <w:p w:rsidR="00294B7F" w:rsidRDefault="00FC4573" w:rsidP="001C62AE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</w:t>
      </w:r>
      <w:r w:rsidR="00294B7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д</w:t>
      </w: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открытых дверей в Кемеровском УФАС России для школьников. Участниками стали ученики 9 и 10 классов Гимназии № 21, </w:t>
      </w:r>
      <w:proofErr w:type="spellStart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г.Кемерово</w:t>
      </w:r>
      <w:proofErr w:type="spellEnd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Выбор гимназии обусловлен активным участником ее педагогического состава и школьников в проекте «Волонтеры финансового просвещения», созданного в целях реализации программы повышения финансовой грамотности и снижения уровня </w:t>
      </w:r>
      <w:proofErr w:type="spellStart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закредитованности</w:t>
      </w:r>
      <w:proofErr w:type="spellEnd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Кузбасса. Мероприятие представляло собой, как и на встрече со студентами, знакомство с управлением, с ФАС России и территориальными антимонопольными органами</w:t>
      </w:r>
      <w:r w:rsidR="00294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C74" w:rsidRPr="00294B7F" w:rsidRDefault="00FC4573" w:rsidP="001C62AE">
      <w:pPr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Научно-практическая конференция на сегодняшний день стала ежегодным обязательным событием, объединив заинтересованных в углубленном изучении вопросов развития </w:t>
      </w:r>
      <w:proofErr w:type="spellStart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проконкурентного</w:t>
      </w:r>
      <w:proofErr w:type="spellEnd"/>
      <w:r w:rsidRPr="00EB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студентов, магистрантов, аспирантов, научно-педагогических работников и специалистов в области антимонопольного регулирования со всей России.</w:t>
      </w:r>
    </w:p>
    <w:sectPr w:rsidR="00935C74" w:rsidRPr="0029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E5532"/>
    <w:multiLevelType w:val="hybridMultilevel"/>
    <w:tmpl w:val="751A0A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36"/>
    <w:rsid w:val="001C62AE"/>
    <w:rsid w:val="00210449"/>
    <w:rsid w:val="0024603F"/>
    <w:rsid w:val="00273430"/>
    <w:rsid w:val="00294B7F"/>
    <w:rsid w:val="002B0B7C"/>
    <w:rsid w:val="003C7D85"/>
    <w:rsid w:val="004E23CD"/>
    <w:rsid w:val="00507AFA"/>
    <w:rsid w:val="00546057"/>
    <w:rsid w:val="00561B7D"/>
    <w:rsid w:val="005D55DB"/>
    <w:rsid w:val="005F19C5"/>
    <w:rsid w:val="00667F35"/>
    <w:rsid w:val="006D0460"/>
    <w:rsid w:val="006D634D"/>
    <w:rsid w:val="0071071C"/>
    <w:rsid w:val="00764BDB"/>
    <w:rsid w:val="00935C74"/>
    <w:rsid w:val="009A3F36"/>
    <w:rsid w:val="00AF6882"/>
    <w:rsid w:val="00BB6865"/>
    <w:rsid w:val="00C64405"/>
    <w:rsid w:val="00C70131"/>
    <w:rsid w:val="00CA0119"/>
    <w:rsid w:val="00CA2F16"/>
    <w:rsid w:val="00CE6D24"/>
    <w:rsid w:val="00D62FF7"/>
    <w:rsid w:val="00E045CA"/>
    <w:rsid w:val="00E36C80"/>
    <w:rsid w:val="00E4432F"/>
    <w:rsid w:val="00E54BC4"/>
    <w:rsid w:val="00E816D8"/>
    <w:rsid w:val="00F0201D"/>
    <w:rsid w:val="00F574CE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0628-8CD1-4E8D-9F5E-FC00859A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057"/>
    <w:rPr>
      <w:b/>
      <w:bCs/>
    </w:rPr>
  </w:style>
  <w:style w:type="character" w:styleId="a5">
    <w:name w:val="Hyperlink"/>
    <w:basedOn w:val="a0"/>
    <w:uiPriority w:val="99"/>
    <w:unhideWhenUsed/>
    <w:rsid w:val="00546057"/>
    <w:rPr>
      <w:color w:val="0000FF"/>
      <w:u w:val="single"/>
    </w:rPr>
  </w:style>
  <w:style w:type="character" w:customStyle="1" w:styleId="markedcontent">
    <w:name w:val="markedcontent"/>
    <w:basedOn w:val="a0"/>
    <w:rsid w:val="00546057"/>
  </w:style>
  <w:style w:type="paragraph" w:styleId="a6">
    <w:name w:val="List Paragraph"/>
    <w:basedOn w:val="a"/>
    <w:uiPriority w:val="34"/>
    <w:qFormat/>
    <w:rsid w:val="006D634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49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BB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36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926/f0d585697b9aa54ef56a166f7c33e3f0e609889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219/5bdc78bf7e3015a0ea0c0ea5bef708a6c79e2f0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219/5bdc78bf7e3015a0ea0c0ea5bef708a6c79e2f0a/" TargetMode="External"/><Relationship Id="rId11" Type="http://schemas.openxmlformats.org/officeDocument/2006/relationships/hyperlink" Target="http://www.consultant.ru/document/cons_doc_LAW_389219/bdb2754392763f4c0afbdb3bc7ea77ef6a5287c4/" TargetMode="External"/><Relationship Id="rId5" Type="http://schemas.openxmlformats.org/officeDocument/2006/relationships/hyperlink" Target="http://www.consultant.ru/document/cons_doc_LAW_389219/5bdc78bf7e3015a0ea0c0ea5bef708a6c79e2f0a/" TargetMode="External"/><Relationship Id="rId10" Type="http://schemas.openxmlformats.org/officeDocument/2006/relationships/hyperlink" Target="http://www.consultant.ru/document/cons_doc_LAW_402661/e6a1d2ea14e56b30d0895dfb34c2c830336154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2661/e6a1d2ea14e56b30d0895dfb34c2c830336154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15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Белявская Лилия Алексеевна</dc:creator>
  <cp:keywords/>
  <dc:description/>
  <cp:lastModifiedBy>Белявская Лилия Алексеевна</cp:lastModifiedBy>
  <cp:revision>18</cp:revision>
  <cp:lastPrinted>2022-02-24T03:19:00Z</cp:lastPrinted>
  <dcterms:created xsi:type="dcterms:W3CDTF">2022-02-21T04:38:00Z</dcterms:created>
  <dcterms:modified xsi:type="dcterms:W3CDTF">2022-02-25T08:39:00Z</dcterms:modified>
</cp:coreProperties>
</file>